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57A8E274" w14:textId="77777777" w:rsidR="00442BD3" w:rsidRDefault="00000000">
      <w:pPr>
        <w:pStyle w:val="Sous-titre"/>
        <w:rPr>
          <w:rFonts w:eastAsia="Calibri Light" w:cs="Calibri Light"/>
        </w:rPr>
      </w:pPr>
      <w:r>
        <w:rPr>
          <w:noProof/>
        </w:rPr>
        <w:drawing>
          <wp:anchor distT="0" distB="0" distL="0" distR="0" simplePos="0" relativeHeight="4" behindDoc="0" locked="0" layoutInCell="0" allowOverlap="1" wp14:anchorId="3A09747C" wp14:editId="17C69D87">
            <wp:simplePos x="0" y="0"/>
            <wp:positionH relativeFrom="column">
              <wp:posOffset>2045335</wp:posOffset>
            </wp:positionH>
            <wp:positionV relativeFrom="paragraph">
              <wp:posOffset>1331595</wp:posOffset>
            </wp:positionV>
            <wp:extent cx="2091690" cy="673100"/>
            <wp:effectExtent l="0" t="0" r="0" b="0"/>
            <wp:wrapTopAndBottom/>
            <wp:docPr id="1"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2"/>
                    <pic:cNvPicPr>
                      <a:picLocks noChangeAspect="1" noChangeArrowheads="1"/>
                    </pic:cNvPicPr>
                  </pic:nvPicPr>
                  <pic:blipFill>
                    <a:blip r:embed="rId7"/>
                    <a:srcRect l="-35" t="-107" r="-35" b="-107"/>
                    <a:stretch>
                      <a:fillRect/>
                    </a:stretch>
                  </pic:blipFill>
                  <pic:spPr bwMode="auto">
                    <a:xfrm>
                      <a:off x="0" y="0"/>
                      <a:ext cx="2091690" cy="673100"/>
                    </a:xfrm>
                    <a:prstGeom prst="rect">
                      <a:avLst/>
                    </a:prstGeom>
                  </pic:spPr>
                </pic:pic>
              </a:graphicData>
            </a:graphic>
          </wp:anchor>
        </w:drawing>
      </w:r>
      <w:r>
        <w:rPr>
          <w:noProof/>
        </w:rPr>
        <w:drawing>
          <wp:inline distT="0" distB="0" distL="0" distR="0" wp14:anchorId="39960DC6" wp14:editId="4C9B3494">
            <wp:extent cx="1997710" cy="802640"/>
            <wp:effectExtent l="0" t="0" r="0" b="0"/>
            <wp:docPr id="2" name="Image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3"/>
                    <pic:cNvPicPr>
                      <a:picLocks noChangeAspect="1" noChangeArrowheads="1"/>
                    </pic:cNvPicPr>
                  </pic:nvPicPr>
                  <pic:blipFill>
                    <a:blip r:embed="rId8"/>
                    <a:srcRect l="-79" t="-197" r="-79" b="-197"/>
                    <a:stretch>
                      <a:fillRect/>
                    </a:stretch>
                  </pic:blipFill>
                  <pic:spPr bwMode="auto">
                    <a:xfrm>
                      <a:off x="0" y="0"/>
                      <a:ext cx="1997710" cy="802640"/>
                    </a:xfrm>
                    <a:prstGeom prst="rect">
                      <a:avLst/>
                    </a:prstGeom>
                  </pic:spPr>
                </pic:pic>
              </a:graphicData>
            </a:graphic>
          </wp:inline>
        </w:drawing>
      </w:r>
      <w:r>
        <w:rPr>
          <w:rFonts w:eastAsia="Calibri Light" w:cs="Calibri Light"/>
        </w:rPr>
        <w:t xml:space="preserve">                                      </w:t>
      </w:r>
      <w:r>
        <w:rPr>
          <w:noProof/>
        </w:rPr>
        <w:drawing>
          <wp:inline distT="0" distB="0" distL="0" distR="0" wp14:anchorId="793CEED3" wp14:editId="31A3056C">
            <wp:extent cx="1220470" cy="1162685"/>
            <wp:effectExtent l="0" t="0" r="0" b="0"/>
            <wp:docPr id="3"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 1"/>
                    <pic:cNvPicPr>
                      <a:picLocks noChangeAspect="1" noChangeArrowheads="1"/>
                    </pic:cNvPicPr>
                  </pic:nvPicPr>
                  <pic:blipFill>
                    <a:blip r:embed="rId9"/>
                    <a:srcRect l="-118" t="-124" r="-118" b="-124"/>
                    <a:stretch>
                      <a:fillRect/>
                    </a:stretch>
                  </pic:blipFill>
                  <pic:spPr bwMode="auto">
                    <a:xfrm>
                      <a:off x="0" y="0"/>
                      <a:ext cx="1220470" cy="1162685"/>
                    </a:xfrm>
                    <a:prstGeom prst="rect">
                      <a:avLst/>
                    </a:prstGeom>
                  </pic:spPr>
                </pic:pic>
              </a:graphicData>
            </a:graphic>
          </wp:inline>
        </w:drawing>
      </w:r>
    </w:p>
    <w:p w14:paraId="05047142" w14:textId="77777777" w:rsidR="00442BD3" w:rsidRDefault="00442BD3">
      <w:pPr>
        <w:suppressAutoHyphens w:val="0"/>
        <w:spacing w:line="100" w:lineRule="atLeast"/>
        <w:rPr>
          <w:rFonts w:eastAsia="Times New Roman" w:cs="Times New Roman"/>
          <w:sz w:val="20"/>
          <w:szCs w:val="20"/>
        </w:rPr>
      </w:pPr>
    </w:p>
    <w:p w14:paraId="1679A0C9" w14:textId="77777777" w:rsidR="00442BD3" w:rsidRDefault="00000000">
      <w:pPr>
        <w:pBdr>
          <w:top w:val="single" w:sz="8" w:space="1" w:color="000000"/>
          <w:left w:val="single" w:sz="8" w:space="4" w:color="000000"/>
          <w:bottom w:val="single" w:sz="8" w:space="1" w:color="000000"/>
          <w:right w:val="single" w:sz="8" w:space="4" w:color="000000"/>
        </w:pBdr>
        <w:shd w:val="clear" w:color="auto" w:fill="FF9999"/>
        <w:suppressAutoHyphens w:val="0"/>
        <w:spacing w:after="60" w:line="100" w:lineRule="atLeast"/>
        <w:jc w:val="center"/>
      </w:pPr>
      <w:r>
        <w:rPr>
          <w:rFonts w:eastAsia="Times New Roman" w:cs="Times New Roman"/>
          <w:b/>
          <w:sz w:val="36"/>
          <w:szCs w:val="36"/>
        </w:rPr>
        <w:t xml:space="preserve">Acteurs, pratiques et représentations de la sécurité </w:t>
      </w:r>
    </w:p>
    <w:p w14:paraId="5319EE26" w14:textId="77777777" w:rsidR="00442BD3" w:rsidRDefault="00000000">
      <w:pPr>
        <w:pBdr>
          <w:top w:val="single" w:sz="8" w:space="1" w:color="000000"/>
          <w:left w:val="single" w:sz="8" w:space="4" w:color="000000"/>
          <w:bottom w:val="single" w:sz="8" w:space="1" w:color="000000"/>
          <w:right w:val="single" w:sz="8" w:space="4" w:color="000000"/>
        </w:pBdr>
        <w:shd w:val="clear" w:color="auto" w:fill="FF9999"/>
        <w:suppressAutoHyphens w:val="0"/>
        <w:spacing w:after="100" w:line="100" w:lineRule="atLeast"/>
        <w:jc w:val="center"/>
      </w:pPr>
      <w:r>
        <w:rPr>
          <w:rFonts w:eastAsia="Times New Roman" w:cs="Times New Roman"/>
          <w:b/>
          <w:sz w:val="36"/>
          <w:szCs w:val="36"/>
        </w:rPr>
        <w:t>XIX</w:t>
      </w:r>
      <w:r w:rsidRPr="008254F0">
        <w:rPr>
          <w:rFonts w:eastAsia="Times New Roman" w:cs="Times New Roman"/>
          <w:b/>
          <w:sz w:val="28"/>
          <w:szCs w:val="28"/>
          <w:vertAlign w:val="superscript"/>
        </w:rPr>
        <w:t>e</w:t>
      </w:r>
      <w:r>
        <w:rPr>
          <w:rFonts w:eastAsia="Times New Roman" w:cs="Times New Roman"/>
          <w:b/>
          <w:sz w:val="36"/>
          <w:szCs w:val="36"/>
        </w:rPr>
        <w:t>-XXI</w:t>
      </w:r>
      <w:r w:rsidRPr="008254F0">
        <w:rPr>
          <w:rFonts w:eastAsia="Times New Roman" w:cs="Times New Roman"/>
          <w:b/>
          <w:sz w:val="28"/>
          <w:szCs w:val="28"/>
          <w:vertAlign w:val="superscript"/>
        </w:rPr>
        <w:t>e</w:t>
      </w:r>
      <w:r>
        <w:rPr>
          <w:rFonts w:eastAsia="Times New Roman" w:cs="Times New Roman"/>
          <w:b/>
          <w:sz w:val="36"/>
          <w:szCs w:val="36"/>
        </w:rPr>
        <w:t xml:space="preserve"> siècles</w:t>
      </w:r>
    </w:p>
    <w:p w14:paraId="24D20B50" w14:textId="77777777" w:rsidR="00442BD3" w:rsidRDefault="00000000">
      <w:pPr>
        <w:suppressAutoHyphens w:val="0"/>
        <w:spacing w:before="100" w:line="100" w:lineRule="atLeast"/>
        <w:jc w:val="center"/>
      </w:pPr>
      <w:r>
        <w:rPr>
          <w:rFonts w:eastAsia="Times New Roman" w:cs="Times New Roman"/>
          <w:b/>
          <w:sz w:val="28"/>
          <w:szCs w:val="28"/>
        </w:rPr>
        <w:t xml:space="preserve">Pr Arnaud-Dominique </w:t>
      </w:r>
      <w:proofErr w:type="gramStart"/>
      <w:r>
        <w:rPr>
          <w:rFonts w:eastAsia="Times New Roman" w:cs="Times New Roman"/>
          <w:b/>
          <w:sz w:val="28"/>
          <w:szCs w:val="28"/>
        </w:rPr>
        <w:t>HOUTE  -</w:t>
      </w:r>
      <w:proofErr w:type="gramEnd"/>
      <w:r>
        <w:rPr>
          <w:rFonts w:eastAsia="Times New Roman" w:cs="Times New Roman"/>
          <w:b/>
          <w:sz w:val="28"/>
          <w:szCs w:val="28"/>
        </w:rPr>
        <w:t xml:space="preserve">  Pr émérite Jean-Noël LUC</w:t>
      </w:r>
    </w:p>
    <w:p w14:paraId="2908B7EF" w14:textId="77777777" w:rsidR="00442BD3" w:rsidRDefault="00000000">
      <w:pPr>
        <w:suppressAutoHyphens w:val="0"/>
        <w:spacing w:before="80" w:line="100" w:lineRule="atLeast"/>
        <w:jc w:val="center"/>
        <w:rPr>
          <w:sz w:val="36"/>
          <w:szCs w:val="36"/>
        </w:rPr>
      </w:pPr>
      <w:r>
        <w:rPr>
          <w:rFonts w:eastAsia="Times New Roman" w:cs="Times New Roman"/>
          <w:b/>
          <w:sz w:val="36"/>
          <w:szCs w:val="36"/>
        </w:rPr>
        <w:t>Séminaire Master-Doctorat</w:t>
      </w:r>
    </w:p>
    <w:p w14:paraId="4E850452" w14:textId="77777777" w:rsidR="00442BD3" w:rsidRDefault="00442BD3">
      <w:pPr>
        <w:suppressAutoHyphens w:val="0"/>
        <w:spacing w:before="40" w:line="100" w:lineRule="atLeast"/>
        <w:jc w:val="center"/>
        <w:rPr>
          <w:rFonts w:eastAsia="Times New Roman" w:cs="Times New Roman"/>
          <w:b/>
          <w:sz w:val="22"/>
          <w:szCs w:val="22"/>
        </w:rPr>
      </w:pPr>
    </w:p>
    <w:p w14:paraId="3D3E853F" w14:textId="77777777" w:rsidR="00F92E49" w:rsidRDefault="00000000">
      <w:pPr>
        <w:suppressAutoHyphens w:val="0"/>
        <w:spacing w:before="40" w:line="100" w:lineRule="atLeast"/>
        <w:jc w:val="center"/>
        <w:rPr>
          <w:rFonts w:eastAsia="Times New Roman" w:cs="Times New Roman"/>
          <w:b/>
        </w:rPr>
      </w:pPr>
      <w:r>
        <w:rPr>
          <w:rFonts w:eastAsia="Times New Roman" w:cs="Times New Roman"/>
          <w:b/>
        </w:rPr>
        <w:t xml:space="preserve">Maison de la recherche (28 rue Serpente), </w:t>
      </w:r>
    </w:p>
    <w:p w14:paraId="600395FA" w14:textId="60DDEF9F" w:rsidR="00442BD3" w:rsidRDefault="00000000">
      <w:pPr>
        <w:suppressAutoHyphens w:val="0"/>
        <w:spacing w:before="40" w:line="100" w:lineRule="atLeast"/>
        <w:jc w:val="center"/>
      </w:pPr>
      <w:proofErr w:type="gramStart"/>
      <w:r>
        <w:rPr>
          <w:rFonts w:eastAsia="Times New Roman" w:cs="Times New Roman"/>
          <w:b/>
        </w:rPr>
        <w:t>mardi</w:t>
      </w:r>
      <w:proofErr w:type="gramEnd"/>
      <w:r>
        <w:rPr>
          <w:rFonts w:eastAsia="Times New Roman" w:cs="Times New Roman"/>
          <w:b/>
        </w:rPr>
        <w:t xml:space="preserve"> </w:t>
      </w:r>
      <w:r>
        <w:rPr>
          <w:rFonts w:eastAsia="Times New Roman" w:cs="Times New Roman"/>
          <w:b/>
          <w:shd w:val="clear" w:color="auto" w:fill="FFFF00"/>
        </w:rPr>
        <w:t>1</w:t>
      </w:r>
      <w:r w:rsidR="0007769B">
        <w:rPr>
          <w:rFonts w:eastAsia="Times New Roman" w:cs="Times New Roman"/>
          <w:b/>
          <w:shd w:val="clear" w:color="auto" w:fill="FFFF00"/>
        </w:rPr>
        <w:t>6</w:t>
      </w:r>
      <w:r>
        <w:rPr>
          <w:rFonts w:eastAsia="Times New Roman" w:cs="Times New Roman"/>
          <w:b/>
          <w:shd w:val="clear" w:color="auto" w:fill="FFFF00"/>
        </w:rPr>
        <w:t>h-1</w:t>
      </w:r>
      <w:r w:rsidR="0007769B">
        <w:rPr>
          <w:rFonts w:eastAsia="Times New Roman" w:cs="Times New Roman"/>
          <w:b/>
          <w:shd w:val="clear" w:color="auto" w:fill="FFFF00"/>
        </w:rPr>
        <w:t>8</w:t>
      </w:r>
      <w:r>
        <w:rPr>
          <w:rFonts w:eastAsia="Times New Roman" w:cs="Times New Roman"/>
          <w:b/>
          <w:shd w:val="clear" w:color="auto" w:fill="FFFF00"/>
        </w:rPr>
        <w:t>h</w:t>
      </w:r>
      <w:r>
        <w:rPr>
          <w:rFonts w:eastAsia="Times New Roman" w:cs="Times New Roman"/>
          <w:b/>
        </w:rPr>
        <w:t xml:space="preserve">, </w:t>
      </w:r>
      <w:r w:rsidR="0007769B">
        <w:rPr>
          <w:rFonts w:eastAsia="Times New Roman" w:cs="Times New Roman"/>
          <w:b/>
        </w:rPr>
        <w:t xml:space="preserve">amphi </w:t>
      </w:r>
      <w:proofErr w:type="spellStart"/>
      <w:r w:rsidR="0007769B">
        <w:rPr>
          <w:rFonts w:eastAsia="Times New Roman" w:cs="Times New Roman"/>
          <w:b/>
        </w:rPr>
        <w:t>Molinié</w:t>
      </w:r>
      <w:proofErr w:type="spellEnd"/>
    </w:p>
    <w:p w14:paraId="049D9002" w14:textId="77777777" w:rsidR="00442BD3" w:rsidRDefault="00000000">
      <w:pPr>
        <w:suppressAutoHyphens w:val="0"/>
        <w:spacing w:before="40" w:line="100" w:lineRule="atLeast"/>
        <w:jc w:val="center"/>
        <w:rPr>
          <w:sz w:val="22"/>
          <w:szCs w:val="22"/>
        </w:rPr>
      </w:pPr>
      <w:r>
        <w:rPr>
          <w:rFonts w:eastAsia="Times New Roman" w:cs="Times New Roman"/>
          <w:b/>
          <w:sz w:val="22"/>
          <w:szCs w:val="22"/>
        </w:rPr>
        <w:t xml:space="preserve">Informations : </w:t>
      </w:r>
      <w:hyperlink r:id="rId10">
        <w:r w:rsidR="00442BD3">
          <w:rPr>
            <w:rStyle w:val="Lienhypertexte"/>
            <w:sz w:val="22"/>
            <w:szCs w:val="22"/>
          </w:rPr>
          <w:t>arnaud.houte@sorbonne-universite.fr</w:t>
        </w:r>
      </w:hyperlink>
    </w:p>
    <w:p w14:paraId="2BAA5DB1" w14:textId="77777777" w:rsidR="00442BD3" w:rsidRDefault="00442BD3">
      <w:pPr>
        <w:spacing w:after="40"/>
        <w:ind w:left="57" w:right="113"/>
        <w:jc w:val="center"/>
        <w:rPr>
          <w:rFonts w:cs="Times New Roman"/>
          <w:i/>
          <w:iCs/>
          <w:sz w:val="22"/>
          <w:szCs w:val="22"/>
        </w:rPr>
      </w:pPr>
    </w:p>
    <w:p w14:paraId="41D91549" w14:textId="77777777" w:rsidR="00442BD3" w:rsidRDefault="00000000">
      <w:pPr>
        <w:spacing w:line="320" w:lineRule="exact"/>
        <w:ind w:firstLine="567"/>
        <w:jc w:val="both"/>
      </w:pPr>
      <w:r>
        <w:rPr>
          <w:rFonts w:cs="Times New Roman"/>
          <w:sz w:val="28"/>
          <w:szCs w:val="28"/>
        </w:rPr>
        <w:t>Ouvert aux étudiants de master et de doctorat, ainsi qu'aux chercheurs (historiens, sociologues, politistes, juristes, etc.), aux professionnels et aux citoyens, ce séminaire de recherche prend pour objet principal, mais non exclusif, la sécurité, dans une approche élargie, étroitement reliée aux enjeux sociaux, politiques et culturels de l'histoire générale.</w:t>
      </w:r>
    </w:p>
    <w:p w14:paraId="40125E06" w14:textId="24726C61" w:rsidR="00442BD3" w:rsidRPr="00C60B94" w:rsidRDefault="00000000">
      <w:pPr>
        <w:spacing w:before="80" w:line="320" w:lineRule="exact"/>
        <w:ind w:firstLine="567"/>
        <w:jc w:val="both"/>
      </w:pPr>
      <w:r>
        <w:rPr>
          <w:rFonts w:cs="Times New Roman"/>
          <w:sz w:val="28"/>
          <w:szCs w:val="28"/>
        </w:rPr>
        <w:t>Prolongeant des travaux individuels et collectifs développés depuis plus de vingt ans, il s'inscrit dans le cadre de Sorbonne-Université</w:t>
      </w:r>
      <w:r w:rsidR="00043EB1">
        <w:rPr>
          <w:rFonts w:cs="Times New Roman"/>
          <w:sz w:val="28"/>
          <w:szCs w:val="28"/>
        </w:rPr>
        <w:t xml:space="preserve"> et du Centre d’Histoire du XIXe siècle</w:t>
      </w:r>
      <w:r>
        <w:rPr>
          <w:rFonts w:cs="Times New Roman"/>
          <w:sz w:val="28"/>
          <w:szCs w:val="28"/>
        </w:rPr>
        <w:t xml:space="preserve">, et en collaboration avec la chaire </w:t>
      </w:r>
      <w:proofErr w:type="spellStart"/>
      <w:r>
        <w:rPr>
          <w:rFonts w:cs="Times New Roman"/>
          <w:sz w:val="28"/>
          <w:szCs w:val="28"/>
        </w:rPr>
        <w:t>HiGeSet</w:t>
      </w:r>
      <w:proofErr w:type="spellEnd"/>
      <w:r>
        <w:rPr>
          <w:rFonts w:cs="Times New Roman"/>
          <w:sz w:val="28"/>
          <w:szCs w:val="28"/>
        </w:rPr>
        <w:t xml:space="preserve"> Histoire, Gendarmerie, Sécurité &amp; Territoire(s)</w:t>
      </w:r>
      <w:r w:rsidR="007C5A58">
        <w:rPr>
          <w:rFonts w:cs="Times New Roman"/>
          <w:sz w:val="28"/>
          <w:szCs w:val="28"/>
        </w:rPr>
        <w:t xml:space="preserve">, </w:t>
      </w:r>
      <w:r w:rsidR="007C5A58" w:rsidRPr="00C60B94">
        <w:rPr>
          <w:rFonts w:cs="Times New Roman"/>
          <w:sz w:val="28"/>
          <w:szCs w:val="28"/>
        </w:rPr>
        <w:t>du Centre de recherche de la Gendarmerie nationale (CRGN)</w:t>
      </w:r>
      <w:r w:rsidRPr="00C60B94">
        <w:rPr>
          <w:rFonts w:cs="Times New Roman"/>
          <w:sz w:val="28"/>
          <w:szCs w:val="28"/>
        </w:rPr>
        <w:t>.</w:t>
      </w:r>
    </w:p>
    <w:p w14:paraId="1BADD11E" w14:textId="7743B6AE" w:rsidR="00442BD3" w:rsidRDefault="00000000">
      <w:pPr>
        <w:spacing w:before="80" w:line="320" w:lineRule="exact"/>
        <w:ind w:firstLine="567"/>
        <w:jc w:val="both"/>
      </w:pPr>
      <w:r>
        <w:rPr>
          <w:rFonts w:cs="Times New Roman"/>
          <w:sz w:val="28"/>
          <w:szCs w:val="28"/>
        </w:rPr>
        <w:t>Fondé sur une méthodologie historienne, mais ouvert aux approches des sciences sociales dans toute leur diversité, ce séminaire entend être un lieu de préparation, de présentation et de discussion de recherches consacrées à l'étude</w:t>
      </w:r>
      <w:r w:rsidR="00043EB1">
        <w:rPr>
          <w:rFonts w:cs="Times New Roman"/>
          <w:sz w:val="28"/>
          <w:szCs w:val="28"/>
        </w:rPr>
        <w:t xml:space="preserve"> des </w:t>
      </w:r>
      <w:r>
        <w:rPr>
          <w:rFonts w:cs="Times New Roman"/>
          <w:sz w:val="28"/>
          <w:szCs w:val="28"/>
        </w:rPr>
        <w:t>questions de sécurité</w:t>
      </w:r>
      <w:r w:rsidR="00043EB1">
        <w:rPr>
          <w:rFonts w:cs="Times New Roman"/>
          <w:sz w:val="28"/>
          <w:szCs w:val="28"/>
        </w:rPr>
        <w:t xml:space="preserve"> au sens le plus large du terme</w:t>
      </w:r>
      <w:r>
        <w:rPr>
          <w:rFonts w:cs="Times New Roman"/>
          <w:sz w:val="28"/>
          <w:szCs w:val="28"/>
        </w:rPr>
        <w:t xml:space="preserve">. Pour </w:t>
      </w:r>
      <w:r w:rsidR="00043EB1">
        <w:rPr>
          <w:rFonts w:cs="Times New Roman"/>
          <w:sz w:val="28"/>
          <w:szCs w:val="28"/>
        </w:rPr>
        <w:t>saisir</w:t>
      </w:r>
      <w:r>
        <w:rPr>
          <w:rFonts w:cs="Times New Roman"/>
          <w:sz w:val="28"/>
          <w:szCs w:val="28"/>
        </w:rPr>
        <w:t xml:space="preserve"> ce problème dans son environnement global, il s'intéresse également </w:t>
      </w:r>
      <w:r w:rsidR="00043EB1">
        <w:rPr>
          <w:rFonts w:cs="Times New Roman"/>
          <w:sz w:val="28"/>
          <w:szCs w:val="28"/>
        </w:rPr>
        <w:t xml:space="preserve">aux peurs et </w:t>
      </w:r>
      <w:r>
        <w:rPr>
          <w:rFonts w:cs="Times New Roman"/>
          <w:sz w:val="28"/>
          <w:szCs w:val="28"/>
        </w:rPr>
        <w:t>p</w:t>
      </w:r>
      <w:r w:rsidR="00043EB1">
        <w:rPr>
          <w:rFonts w:cs="Times New Roman"/>
          <w:sz w:val="28"/>
          <w:szCs w:val="28"/>
        </w:rPr>
        <w:t>réoccupations</w:t>
      </w:r>
      <w:r>
        <w:rPr>
          <w:rFonts w:cs="Times New Roman"/>
          <w:sz w:val="28"/>
          <w:szCs w:val="28"/>
        </w:rPr>
        <w:t xml:space="preserve"> sociales abordées dans leur épaisseur historique, en tenant compte de leurs diversités sociales et territoriales.</w:t>
      </w:r>
    </w:p>
    <w:p w14:paraId="585AA45C" w14:textId="7A5D7B7D" w:rsidR="0057336C" w:rsidRDefault="00000000">
      <w:pPr>
        <w:spacing w:before="80" w:line="320" w:lineRule="exact"/>
        <w:ind w:firstLine="567"/>
        <w:jc w:val="both"/>
        <w:rPr>
          <w:rFonts w:cs="Times New Roman"/>
          <w:sz w:val="28"/>
          <w:szCs w:val="28"/>
        </w:rPr>
      </w:pPr>
      <w:r>
        <w:rPr>
          <w:rFonts w:cs="Times New Roman"/>
          <w:sz w:val="28"/>
          <w:szCs w:val="28"/>
        </w:rPr>
        <w:t>Le séminaire associe des séances méthodologiques (plus spécifiquement destinées aux étudiants de master) et des conférences (ouvertes au public), dans la volonté de multiplier les approches disciplinaires, les méthodes et les terrains d'enquête.</w:t>
      </w:r>
    </w:p>
    <w:p w14:paraId="55251919" w14:textId="77777777" w:rsidR="00F92E49" w:rsidRDefault="00F92E49">
      <w:pPr>
        <w:spacing w:before="80" w:line="320" w:lineRule="exact"/>
        <w:ind w:firstLine="567"/>
        <w:jc w:val="both"/>
      </w:pPr>
    </w:p>
    <w:p w14:paraId="763A391F" w14:textId="2E135F00" w:rsidR="00442BD3" w:rsidRDefault="00000000">
      <w:pPr>
        <w:spacing w:before="57"/>
        <w:jc w:val="both"/>
      </w:pPr>
      <w:r>
        <w:rPr>
          <w:rFonts w:cs="Times New Roman"/>
          <w:b/>
          <w:bCs/>
          <w:color w:val="000000"/>
          <w:sz w:val="28"/>
          <w:szCs w:val="28"/>
        </w:rPr>
        <w:t>1</w:t>
      </w:r>
      <w:r w:rsidR="00043EB1">
        <w:rPr>
          <w:rFonts w:cs="Times New Roman"/>
          <w:b/>
          <w:bCs/>
          <w:color w:val="000000"/>
          <w:sz w:val="28"/>
          <w:szCs w:val="28"/>
        </w:rPr>
        <w:t>5</w:t>
      </w:r>
      <w:r>
        <w:rPr>
          <w:rFonts w:cs="Times New Roman"/>
          <w:b/>
          <w:bCs/>
          <w:color w:val="000000"/>
          <w:sz w:val="28"/>
          <w:szCs w:val="28"/>
        </w:rPr>
        <w:t xml:space="preserve"> septembre – </w:t>
      </w:r>
      <w:r w:rsidR="0078253E">
        <w:rPr>
          <w:rFonts w:cs="Times New Roman"/>
          <w:b/>
          <w:bCs/>
          <w:color w:val="000000"/>
          <w:sz w:val="28"/>
          <w:szCs w:val="28"/>
        </w:rPr>
        <w:t>Accueil des M1 : construire un sujet</w:t>
      </w:r>
    </w:p>
    <w:p w14:paraId="4AB37009" w14:textId="77777777" w:rsidR="00F92E49" w:rsidRPr="00A11B37" w:rsidRDefault="00F92E49">
      <w:pPr>
        <w:spacing w:before="57"/>
        <w:jc w:val="both"/>
        <w:rPr>
          <w:rFonts w:cs="Times New Roman"/>
          <w:b/>
          <w:bCs/>
          <w:color w:val="000000"/>
          <w:spacing w:val="-6"/>
        </w:rPr>
      </w:pPr>
    </w:p>
    <w:p w14:paraId="71F76D66" w14:textId="7D4DC13D" w:rsidR="00442BD3" w:rsidRDefault="00CC3123">
      <w:pPr>
        <w:spacing w:before="57"/>
        <w:jc w:val="both"/>
        <w:rPr>
          <w:rFonts w:cs="Times New Roman"/>
          <w:b/>
          <w:bCs/>
          <w:color w:val="000000"/>
          <w:spacing w:val="-6"/>
          <w:sz w:val="28"/>
          <w:szCs w:val="28"/>
        </w:rPr>
      </w:pPr>
      <w:r>
        <w:rPr>
          <w:rFonts w:cs="Times New Roman"/>
          <w:b/>
          <w:bCs/>
          <w:color w:val="000000"/>
          <w:spacing w:val="-6"/>
          <w:sz w:val="28"/>
          <w:szCs w:val="28"/>
        </w:rPr>
        <w:t>2</w:t>
      </w:r>
      <w:r w:rsidR="00043EB1">
        <w:rPr>
          <w:rFonts w:cs="Times New Roman"/>
          <w:b/>
          <w:bCs/>
          <w:color w:val="000000"/>
          <w:spacing w:val="-6"/>
          <w:sz w:val="28"/>
          <w:szCs w:val="28"/>
        </w:rPr>
        <w:t>2</w:t>
      </w:r>
      <w:r>
        <w:rPr>
          <w:rFonts w:cs="Times New Roman"/>
          <w:b/>
          <w:bCs/>
          <w:color w:val="000000"/>
          <w:spacing w:val="-6"/>
          <w:sz w:val="28"/>
          <w:szCs w:val="28"/>
        </w:rPr>
        <w:t xml:space="preserve"> septembre – Méthodologie de la recherche</w:t>
      </w:r>
      <w:r w:rsidR="00043EB1">
        <w:rPr>
          <w:rFonts w:cs="Times New Roman"/>
          <w:b/>
          <w:bCs/>
          <w:color w:val="000000"/>
          <w:spacing w:val="-6"/>
          <w:sz w:val="28"/>
          <w:szCs w:val="28"/>
        </w:rPr>
        <w:t> : sources et bibliographie</w:t>
      </w:r>
      <w:r w:rsidR="0078253E">
        <w:rPr>
          <w:rFonts w:cs="Times New Roman"/>
          <w:b/>
          <w:bCs/>
          <w:color w:val="000000"/>
          <w:spacing w:val="-6"/>
          <w:sz w:val="28"/>
          <w:szCs w:val="28"/>
        </w:rPr>
        <w:t xml:space="preserve"> (1)</w:t>
      </w:r>
    </w:p>
    <w:p w14:paraId="00978120" w14:textId="77777777" w:rsidR="0078253E" w:rsidRDefault="0078253E">
      <w:pPr>
        <w:spacing w:before="57"/>
        <w:jc w:val="both"/>
      </w:pPr>
    </w:p>
    <w:p w14:paraId="0744730C" w14:textId="1AC3E263" w:rsidR="00B801CF" w:rsidRDefault="00043EB1" w:rsidP="00B801CF">
      <w:pPr>
        <w:spacing w:before="57"/>
        <w:jc w:val="both"/>
      </w:pPr>
      <w:r>
        <w:rPr>
          <w:rFonts w:cs="Times New Roman"/>
          <w:b/>
          <w:bCs/>
          <w:color w:val="000000"/>
          <w:sz w:val="28"/>
          <w:szCs w:val="28"/>
        </w:rPr>
        <w:t>29</w:t>
      </w:r>
      <w:r w:rsidR="00CC3123">
        <w:rPr>
          <w:rFonts w:cs="Times New Roman"/>
          <w:b/>
          <w:bCs/>
          <w:color w:val="000000"/>
          <w:sz w:val="28"/>
          <w:szCs w:val="28"/>
        </w:rPr>
        <w:t xml:space="preserve"> septembre</w:t>
      </w:r>
      <w:r w:rsidR="0024177C">
        <w:rPr>
          <w:rFonts w:cs="Times New Roman"/>
          <w:b/>
          <w:bCs/>
          <w:color w:val="000000"/>
          <w:sz w:val="28"/>
          <w:szCs w:val="28"/>
        </w:rPr>
        <w:t xml:space="preserve"> –</w:t>
      </w:r>
      <w:r w:rsidR="00B801CF">
        <w:rPr>
          <w:rFonts w:cs="Times New Roman"/>
          <w:b/>
          <w:bCs/>
          <w:color w:val="000000"/>
          <w:sz w:val="28"/>
          <w:szCs w:val="28"/>
        </w:rPr>
        <w:t xml:space="preserve"> Méthodologie de la recherche</w:t>
      </w:r>
      <w:r>
        <w:rPr>
          <w:rFonts w:cs="Times New Roman"/>
          <w:b/>
          <w:bCs/>
          <w:color w:val="000000"/>
          <w:sz w:val="28"/>
          <w:szCs w:val="28"/>
        </w:rPr>
        <w:t> : sources et bibliographie</w:t>
      </w:r>
      <w:r w:rsidR="00B801CF">
        <w:rPr>
          <w:rFonts w:cs="Times New Roman"/>
          <w:b/>
          <w:bCs/>
          <w:color w:val="000000"/>
          <w:sz w:val="28"/>
          <w:szCs w:val="28"/>
        </w:rPr>
        <w:t xml:space="preserve"> (2)</w:t>
      </w:r>
    </w:p>
    <w:p w14:paraId="65E8E541" w14:textId="67FE5631" w:rsidR="00CC3123" w:rsidRDefault="00CC3123" w:rsidP="0024177C">
      <w:pPr>
        <w:spacing w:before="57"/>
        <w:jc w:val="both"/>
        <w:rPr>
          <w:rFonts w:cs="Times New Roman"/>
          <w:b/>
          <w:bCs/>
          <w:color w:val="000000"/>
          <w:sz w:val="28"/>
          <w:szCs w:val="28"/>
        </w:rPr>
      </w:pPr>
    </w:p>
    <w:p w14:paraId="1A8F247C" w14:textId="59C4D011" w:rsidR="00B801CF" w:rsidRDefault="00043EB1" w:rsidP="00CC3123">
      <w:pPr>
        <w:spacing w:before="57"/>
        <w:jc w:val="both"/>
        <w:rPr>
          <w:rFonts w:cs="Times New Roman"/>
          <w:b/>
          <w:bCs/>
          <w:color w:val="000000"/>
          <w:sz w:val="28"/>
          <w:szCs w:val="28"/>
        </w:rPr>
      </w:pPr>
      <w:r>
        <w:rPr>
          <w:rFonts w:cs="Times New Roman"/>
          <w:b/>
          <w:bCs/>
          <w:color w:val="000000"/>
          <w:sz w:val="28"/>
          <w:szCs w:val="28"/>
        </w:rPr>
        <w:lastRenderedPageBreak/>
        <w:t>6</w:t>
      </w:r>
      <w:r w:rsidR="0024177C">
        <w:rPr>
          <w:rFonts w:cs="Times New Roman"/>
          <w:b/>
          <w:bCs/>
          <w:color w:val="000000"/>
          <w:sz w:val="28"/>
          <w:szCs w:val="28"/>
        </w:rPr>
        <w:t xml:space="preserve"> octobre – </w:t>
      </w:r>
      <w:r w:rsidR="00F92E49">
        <w:rPr>
          <w:rFonts w:cs="Times New Roman"/>
          <w:b/>
          <w:bCs/>
          <w:color w:val="000000"/>
          <w:sz w:val="28"/>
          <w:szCs w:val="28"/>
        </w:rPr>
        <w:t>La part politique de l’ordre public</w:t>
      </w:r>
    </w:p>
    <w:p w14:paraId="00692448" w14:textId="7CEB02F8" w:rsidR="006E3C23" w:rsidRPr="00A11B37" w:rsidRDefault="00F92E49" w:rsidP="006E3C23">
      <w:pPr>
        <w:spacing w:before="57"/>
        <w:jc w:val="both"/>
        <w:rPr>
          <w:rFonts w:cs="Times New Roman"/>
          <w:color w:val="990033"/>
        </w:rPr>
      </w:pPr>
      <w:r w:rsidRPr="00A11B37">
        <w:rPr>
          <w:rFonts w:ascii="Cambria" w:hAnsi="Cambria" w:cs="Times New Roman"/>
          <w:b/>
          <w:bCs/>
          <w:i/>
          <w:iCs/>
          <w:color w:val="990033"/>
          <w:sz w:val="28"/>
          <w:szCs w:val="28"/>
        </w:rPr>
        <w:t>Maintenir l’ordre en République (XIXe-XXe) : autour d’un numéro de revue</w:t>
      </w:r>
    </w:p>
    <w:p w14:paraId="5CA17D66" w14:textId="5DE2B173" w:rsidR="006E3C23" w:rsidRPr="00CB79C7" w:rsidRDefault="006E3C23" w:rsidP="006E3C23">
      <w:pPr>
        <w:spacing w:before="57"/>
        <w:jc w:val="both"/>
        <w:rPr>
          <w:rFonts w:cs="Times New Roman"/>
          <w:color w:val="000000"/>
          <w:sz w:val="26"/>
          <w:szCs w:val="26"/>
        </w:rPr>
      </w:pPr>
      <w:r>
        <w:rPr>
          <w:rFonts w:cs="Times New Roman"/>
          <w:color w:val="000000"/>
          <w:sz w:val="26"/>
          <w:szCs w:val="26"/>
        </w:rPr>
        <w:t>Maxime Launay</w:t>
      </w:r>
      <w:r w:rsidR="00CB79C7">
        <w:rPr>
          <w:rFonts w:cs="Times New Roman"/>
          <w:color w:val="000000"/>
          <w:sz w:val="26"/>
          <w:szCs w:val="26"/>
        </w:rPr>
        <w:t xml:space="preserve"> (IRSEM)</w:t>
      </w:r>
      <w:r>
        <w:rPr>
          <w:rFonts w:cs="Times New Roman"/>
          <w:color w:val="000000"/>
          <w:sz w:val="26"/>
          <w:szCs w:val="26"/>
        </w:rPr>
        <w:t xml:space="preserve"> et Arnaud-Dominique Houte</w:t>
      </w:r>
      <w:r w:rsidR="00CB79C7">
        <w:rPr>
          <w:rFonts w:cs="Times New Roman"/>
          <w:color w:val="000000"/>
          <w:sz w:val="26"/>
          <w:szCs w:val="26"/>
        </w:rPr>
        <w:t xml:space="preserve"> (Sorbonne-Université)</w:t>
      </w:r>
      <w:r>
        <w:rPr>
          <w:rFonts w:cs="Times New Roman"/>
          <w:color w:val="000000"/>
          <w:sz w:val="26"/>
          <w:szCs w:val="26"/>
        </w:rPr>
        <w:t>, codirecteurs du</w:t>
      </w:r>
      <w:r w:rsidR="00CB79C7">
        <w:rPr>
          <w:rFonts w:cs="Times New Roman"/>
          <w:color w:val="000000"/>
          <w:sz w:val="26"/>
          <w:szCs w:val="26"/>
        </w:rPr>
        <w:t xml:space="preserve"> numéro hors-série 21 de la revue </w:t>
      </w:r>
      <w:r w:rsidR="00CB79C7">
        <w:rPr>
          <w:rFonts w:cs="Times New Roman"/>
          <w:i/>
          <w:iCs/>
          <w:color w:val="000000"/>
          <w:sz w:val="26"/>
          <w:szCs w:val="26"/>
        </w:rPr>
        <w:t>Parlement(s). Revue d’histoire politique</w:t>
      </w:r>
      <w:r w:rsidR="00CB79C7">
        <w:rPr>
          <w:rFonts w:cs="Times New Roman"/>
          <w:color w:val="000000"/>
          <w:sz w:val="26"/>
          <w:szCs w:val="26"/>
        </w:rPr>
        <w:t>, octobre 2026</w:t>
      </w:r>
    </w:p>
    <w:p w14:paraId="1F2F6C3F" w14:textId="77777777" w:rsidR="00BD585E" w:rsidRPr="008254F0" w:rsidRDefault="00BD585E" w:rsidP="00CC3123">
      <w:pPr>
        <w:spacing w:before="57"/>
        <w:jc w:val="both"/>
        <w:rPr>
          <w:rFonts w:cs="Times New Roman"/>
          <w:b/>
          <w:bCs/>
          <w:color w:val="000000"/>
        </w:rPr>
      </w:pPr>
    </w:p>
    <w:p w14:paraId="7518A5E2" w14:textId="0EBD07CB" w:rsidR="00B15851" w:rsidRDefault="00000000">
      <w:pPr>
        <w:spacing w:before="57"/>
        <w:jc w:val="both"/>
        <w:rPr>
          <w:rFonts w:cs="Times New Roman"/>
          <w:b/>
          <w:bCs/>
          <w:color w:val="000000"/>
          <w:sz w:val="28"/>
          <w:szCs w:val="28"/>
        </w:rPr>
      </w:pPr>
      <w:r>
        <w:rPr>
          <w:rFonts w:cs="Times New Roman"/>
          <w:b/>
          <w:bCs/>
          <w:color w:val="000000"/>
          <w:sz w:val="28"/>
          <w:szCs w:val="28"/>
        </w:rPr>
        <w:t>1</w:t>
      </w:r>
      <w:r w:rsidR="00043EB1">
        <w:rPr>
          <w:rFonts w:cs="Times New Roman"/>
          <w:b/>
          <w:bCs/>
          <w:color w:val="000000"/>
          <w:sz w:val="28"/>
          <w:szCs w:val="28"/>
        </w:rPr>
        <w:t>3</w:t>
      </w:r>
      <w:r>
        <w:rPr>
          <w:rFonts w:cs="Times New Roman"/>
          <w:b/>
          <w:bCs/>
          <w:color w:val="000000"/>
          <w:sz w:val="28"/>
          <w:szCs w:val="28"/>
        </w:rPr>
        <w:t xml:space="preserve"> octobre – </w:t>
      </w:r>
      <w:r w:rsidR="00F92E49">
        <w:rPr>
          <w:rFonts w:cs="Times New Roman"/>
          <w:b/>
          <w:bCs/>
          <w:color w:val="000000"/>
          <w:sz w:val="28"/>
          <w:szCs w:val="28"/>
        </w:rPr>
        <w:t>Histoire sociale et enjeux de</w:t>
      </w:r>
      <w:r w:rsidR="00CB79C7">
        <w:rPr>
          <w:rFonts w:cs="Times New Roman"/>
          <w:b/>
          <w:bCs/>
          <w:color w:val="000000"/>
          <w:sz w:val="28"/>
          <w:szCs w:val="28"/>
        </w:rPr>
        <w:t xml:space="preserve"> sécurité publique</w:t>
      </w:r>
    </w:p>
    <w:p w14:paraId="14D62314" w14:textId="03ECA1A5" w:rsidR="005461B0" w:rsidRPr="00A11B37" w:rsidRDefault="00CB79C7" w:rsidP="005461B0">
      <w:pPr>
        <w:spacing w:before="57"/>
        <w:jc w:val="both"/>
        <w:rPr>
          <w:rFonts w:cs="Times New Roman"/>
          <w:color w:val="990033"/>
        </w:rPr>
      </w:pPr>
      <w:r w:rsidRPr="00A11B37">
        <w:rPr>
          <w:rFonts w:ascii="Cambria" w:hAnsi="Cambria" w:cs="Times New Roman"/>
          <w:b/>
          <w:bCs/>
          <w:i/>
          <w:iCs/>
          <w:color w:val="990033"/>
          <w:sz w:val="28"/>
          <w:szCs w:val="28"/>
        </w:rPr>
        <w:t>Vieillesse et santé mentale à l’époque contemporaine</w:t>
      </w:r>
    </w:p>
    <w:p w14:paraId="080595D5" w14:textId="52ED5A61" w:rsidR="007A5E29" w:rsidRPr="00F404CC" w:rsidRDefault="006E3C23">
      <w:pPr>
        <w:spacing w:before="57"/>
        <w:jc w:val="both"/>
        <w:rPr>
          <w:rFonts w:cs="Times New Roman"/>
          <w:color w:val="000000"/>
          <w:sz w:val="26"/>
          <w:szCs w:val="26"/>
        </w:rPr>
      </w:pPr>
      <w:r>
        <w:rPr>
          <w:rFonts w:cs="Times New Roman"/>
          <w:color w:val="000000"/>
          <w:sz w:val="26"/>
          <w:szCs w:val="26"/>
        </w:rPr>
        <w:t>Marie Derrien</w:t>
      </w:r>
      <w:r w:rsidR="00CB79C7">
        <w:rPr>
          <w:rFonts w:cs="Times New Roman"/>
          <w:color w:val="000000"/>
          <w:sz w:val="26"/>
          <w:szCs w:val="26"/>
        </w:rPr>
        <w:t xml:space="preserve"> (IUF – université de Lille)</w:t>
      </w:r>
      <w:r>
        <w:rPr>
          <w:rFonts w:cs="Times New Roman"/>
          <w:color w:val="000000"/>
          <w:sz w:val="26"/>
          <w:szCs w:val="26"/>
        </w:rPr>
        <w:t xml:space="preserve"> et Mathilde Rossigneux-Méheust</w:t>
      </w:r>
      <w:r w:rsidR="00CB79C7">
        <w:rPr>
          <w:rFonts w:cs="Times New Roman"/>
          <w:color w:val="000000"/>
          <w:sz w:val="26"/>
          <w:szCs w:val="26"/>
        </w:rPr>
        <w:t xml:space="preserve"> (IUF – Lyon II), co-autrices du livre </w:t>
      </w:r>
      <w:r w:rsidR="00CB79C7">
        <w:rPr>
          <w:rFonts w:cs="Times New Roman"/>
          <w:i/>
          <w:iCs/>
          <w:color w:val="000000"/>
          <w:sz w:val="26"/>
          <w:szCs w:val="26"/>
        </w:rPr>
        <w:t>Dernières folies</w:t>
      </w:r>
      <w:r w:rsidR="00CB79C7">
        <w:rPr>
          <w:rFonts w:cs="Times New Roman"/>
          <w:color w:val="000000"/>
          <w:sz w:val="26"/>
          <w:szCs w:val="26"/>
        </w:rPr>
        <w:t>, Seuil, 2026.</w:t>
      </w:r>
    </w:p>
    <w:p w14:paraId="44894C93" w14:textId="77777777" w:rsidR="00CC3123" w:rsidRDefault="00CC3123">
      <w:pPr>
        <w:spacing w:before="57"/>
        <w:jc w:val="both"/>
        <w:rPr>
          <w:color w:val="000000"/>
        </w:rPr>
      </w:pPr>
    </w:p>
    <w:p w14:paraId="36F8372B" w14:textId="40D75E27" w:rsidR="00442BD3" w:rsidRDefault="00000000">
      <w:pPr>
        <w:spacing w:before="57"/>
        <w:jc w:val="both"/>
      </w:pPr>
      <w:r>
        <w:rPr>
          <w:rFonts w:cs="Times New Roman"/>
          <w:b/>
          <w:bCs/>
          <w:color w:val="000000"/>
          <w:sz w:val="28"/>
          <w:szCs w:val="28"/>
        </w:rPr>
        <w:t>2</w:t>
      </w:r>
      <w:r w:rsidR="00043EB1">
        <w:rPr>
          <w:rFonts w:cs="Times New Roman"/>
          <w:b/>
          <w:bCs/>
          <w:color w:val="000000"/>
          <w:sz w:val="28"/>
          <w:szCs w:val="28"/>
        </w:rPr>
        <w:t>0</w:t>
      </w:r>
      <w:r>
        <w:rPr>
          <w:rFonts w:cs="Times New Roman"/>
          <w:b/>
          <w:bCs/>
          <w:color w:val="000000"/>
          <w:sz w:val="28"/>
          <w:szCs w:val="28"/>
        </w:rPr>
        <w:t xml:space="preserve"> octobre – </w:t>
      </w:r>
      <w:r w:rsidR="00CB79C7">
        <w:rPr>
          <w:rFonts w:cs="Times New Roman"/>
          <w:b/>
          <w:bCs/>
          <w:color w:val="000000"/>
          <w:sz w:val="28"/>
          <w:szCs w:val="28"/>
        </w:rPr>
        <w:t>Crime et histoire (1)</w:t>
      </w:r>
    </w:p>
    <w:p w14:paraId="161B7B0D" w14:textId="73D86A12" w:rsidR="0024177C" w:rsidRPr="00A11B37" w:rsidRDefault="00CB79C7">
      <w:pPr>
        <w:spacing w:before="57"/>
        <w:jc w:val="both"/>
        <w:rPr>
          <w:rFonts w:cs="Times New Roman"/>
          <w:color w:val="990033"/>
        </w:rPr>
      </w:pPr>
      <w:r w:rsidRPr="00A11B37">
        <w:rPr>
          <w:rFonts w:ascii="Cambria" w:hAnsi="Cambria" w:cs="Times New Roman"/>
          <w:b/>
          <w:bCs/>
          <w:i/>
          <w:iCs/>
          <w:color w:val="990033"/>
          <w:sz w:val="28"/>
          <w:szCs w:val="28"/>
        </w:rPr>
        <w:t>L’affaire Brierre, un crime insensé à la Belle Époque</w:t>
      </w:r>
    </w:p>
    <w:p w14:paraId="3E7688EC" w14:textId="1E47F0CC" w:rsidR="00442BD3" w:rsidRPr="008254F0" w:rsidRDefault="001B6649">
      <w:pPr>
        <w:spacing w:before="57"/>
        <w:jc w:val="both"/>
        <w:rPr>
          <w:spacing w:val="-4"/>
          <w:sz w:val="26"/>
          <w:szCs w:val="26"/>
        </w:rPr>
      </w:pPr>
      <w:r w:rsidRPr="008254F0">
        <w:rPr>
          <w:rFonts w:cs="Times New Roman"/>
          <w:color w:val="000000"/>
          <w:spacing w:val="-4"/>
          <w:sz w:val="26"/>
          <w:szCs w:val="26"/>
        </w:rPr>
        <w:t>Alain Denizet</w:t>
      </w:r>
      <w:r w:rsidR="00CB79C7" w:rsidRPr="008254F0">
        <w:rPr>
          <w:rFonts w:cs="Times New Roman"/>
          <w:color w:val="000000"/>
          <w:spacing w:val="-4"/>
          <w:sz w:val="26"/>
          <w:szCs w:val="26"/>
        </w:rPr>
        <w:t>, professeur agrégé, auteur du livre paru sous ce titre aux Éditions de la Bisquine, 2015.</w:t>
      </w:r>
    </w:p>
    <w:p w14:paraId="646F9BD3" w14:textId="77777777" w:rsidR="00442BD3" w:rsidRDefault="00442BD3">
      <w:pPr>
        <w:spacing w:before="57"/>
        <w:jc w:val="both"/>
        <w:rPr>
          <w:rFonts w:cs="Times New Roman"/>
          <w:color w:val="000000"/>
          <w:sz w:val="22"/>
          <w:szCs w:val="22"/>
        </w:rPr>
      </w:pPr>
    </w:p>
    <w:p w14:paraId="7E34AFC1" w14:textId="490D380C" w:rsidR="00442BD3" w:rsidRPr="00CB79C7" w:rsidRDefault="00043EB1" w:rsidP="00CB79C7">
      <w:pPr>
        <w:spacing w:before="57"/>
        <w:jc w:val="both"/>
      </w:pPr>
      <w:r>
        <w:rPr>
          <w:rFonts w:cs="Times New Roman"/>
          <w:b/>
          <w:bCs/>
          <w:color w:val="000000"/>
          <w:sz w:val="28"/>
          <w:szCs w:val="28"/>
        </w:rPr>
        <w:t>3</w:t>
      </w:r>
      <w:r w:rsidR="0024177C">
        <w:rPr>
          <w:rFonts w:cs="Times New Roman"/>
          <w:b/>
          <w:bCs/>
          <w:color w:val="000000"/>
          <w:sz w:val="28"/>
          <w:szCs w:val="28"/>
        </w:rPr>
        <w:t xml:space="preserve"> novembre – </w:t>
      </w:r>
      <w:r w:rsidR="00CB79C7">
        <w:rPr>
          <w:rFonts w:cs="Times New Roman"/>
          <w:b/>
          <w:bCs/>
          <w:color w:val="000000"/>
          <w:sz w:val="28"/>
          <w:szCs w:val="28"/>
        </w:rPr>
        <w:t>Méthodologie de la recherche : sources et bibliographie (3)</w:t>
      </w:r>
    </w:p>
    <w:p w14:paraId="70F99193" w14:textId="77777777" w:rsidR="007A5E29" w:rsidRDefault="007A5E29" w:rsidP="00220851">
      <w:pPr>
        <w:pStyle w:val="Corpsdetexte"/>
        <w:spacing w:before="57" w:after="0"/>
      </w:pPr>
    </w:p>
    <w:p w14:paraId="721D5DCB" w14:textId="79439C6D" w:rsidR="007A5E29" w:rsidRDefault="00CC3123">
      <w:pPr>
        <w:spacing w:before="57"/>
        <w:jc w:val="both"/>
        <w:rPr>
          <w:rFonts w:cs="Times New Roman"/>
          <w:b/>
          <w:bCs/>
          <w:color w:val="000000"/>
          <w:sz w:val="28"/>
          <w:szCs w:val="28"/>
        </w:rPr>
      </w:pPr>
      <w:r>
        <w:rPr>
          <w:rFonts w:cs="Times New Roman"/>
          <w:b/>
          <w:bCs/>
          <w:color w:val="000000"/>
          <w:sz w:val="28"/>
          <w:szCs w:val="28"/>
        </w:rPr>
        <w:t>1</w:t>
      </w:r>
      <w:r w:rsidR="00043EB1">
        <w:rPr>
          <w:rFonts w:cs="Times New Roman"/>
          <w:b/>
          <w:bCs/>
          <w:color w:val="000000"/>
          <w:sz w:val="28"/>
          <w:szCs w:val="28"/>
        </w:rPr>
        <w:t>0</w:t>
      </w:r>
      <w:r w:rsidRPr="00A7163C">
        <w:rPr>
          <w:rFonts w:cs="Times New Roman"/>
          <w:b/>
          <w:bCs/>
          <w:color w:val="000000"/>
          <w:sz w:val="28"/>
          <w:szCs w:val="28"/>
        </w:rPr>
        <w:t xml:space="preserve"> novembre – </w:t>
      </w:r>
      <w:r w:rsidR="00F92E49">
        <w:rPr>
          <w:rFonts w:cs="Times New Roman"/>
          <w:b/>
          <w:bCs/>
          <w:color w:val="000000"/>
          <w:sz w:val="28"/>
          <w:szCs w:val="28"/>
        </w:rPr>
        <w:t>La violence politique et l’État</w:t>
      </w:r>
    </w:p>
    <w:p w14:paraId="4E4A7163" w14:textId="47E9149F" w:rsidR="00287170" w:rsidRPr="00A11B37" w:rsidRDefault="00F40FAA" w:rsidP="00287170">
      <w:pPr>
        <w:spacing w:before="57"/>
        <w:jc w:val="both"/>
        <w:rPr>
          <w:rFonts w:cs="Times New Roman"/>
          <w:color w:val="990033"/>
        </w:rPr>
      </w:pPr>
      <w:r w:rsidRPr="00A11B37">
        <w:rPr>
          <w:rFonts w:ascii="Cambria" w:hAnsi="Cambria" w:cs="Times New Roman"/>
          <w:b/>
          <w:bCs/>
          <w:i/>
          <w:iCs/>
          <w:color w:val="990033"/>
          <w:sz w:val="28"/>
          <w:szCs w:val="28"/>
        </w:rPr>
        <w:t>À la droite du Général. Gaullisme d’ordre et violences militantes dans la France de la seconde moitié du XXe siècle</w:t>
      </w:r>
    </w:p>
    <w:p w14:paraId="2DB285E1" w14:textId="31F3A4E5" w:rsidR="00442BD3" w:rsidRDefault="001B6649">
      <w:pPr>
        <w:spacing w:before="57"/>
        <w:jc w:val="both"/>
        <w:rPr>
          <w:rFonts w:cs="Times New Roman"/>
          <w:color w:val="000000"/>
          <w:sz w:val="26"/>
          <w:szCs w:val="26"/>
        </w:rPr>
      </w:pPr>
      <w:r>
        <w:rPr>
          <w:rFonts w:cs="Times New Roman"/>
          <w:color w:val="000000"/>
          <w:sz w:val="26"/>
          <w:szCs w:val="26"/>
        </w:rPr>
        <w:t>Bryan Muller</w:t>
      </w:r>
      <w:r w:rsidR="00CB79C7">
        <w:rPr>
          <w:rFonts w:cs="Times New Roman"/>
          <w:color w:val="000000"/>
          <w:sz w:val="26"/>
          <w:szCs w:val="26"/>
        </w:rPr>
        <w:t xml:space="preserve"> (docteur en histoire</w:t>
      </w:r>
      <w:r w:rsidR="00DE6B9D">
        <w:rPr>
          <w:rFonts w:cs="Times New Roman"/>
          <w:color w:val="000000"/>
          <w:sz w:val="26"/>
          <w:szCs w:val="26"/>
        </w:rPr>
        <w:t>, université de Lorraine</w:t>
      </w:r>
      <w:r w:rsidR="00CB79C7">
        <w:rPr>
          <w:rFonts w:cs="Times New Roman"/>
          <w:color w:val="000000"/>
          <w:sz w:val="26"/>
          <w:szCs w:val="26"/>
        </w:rPr>
        <w:t>)</w:t>
      </w:r>
    </w:p>
    <w:p w14:paraId="049CDEC3" w14:textId="77777777" w:rsidR="00BD585E" w:rsidRDefault="00BD585E">
      <w:pPr>
        <w:spacing w:before="57"/>
        <w:jc w:val="both"/>
        <w:rPr>
          <w:color w:val="000000"/>
        </w:rPr>
      </w:pPr>
    </w:p>
    <w:p w14:paraId="40D5DF76" w14:textId="731C8BCB" w:rsidR="00F40FAA" w:rsidRDefault="00CB79C7" w:rsidP="00F40FAA">
      <w:pPr>
        <w:pStyle w:val="Corpsdetexte"/>
        <w:spacing w:before="57" w:after="0"/>
        <w:rPr>
          <w:rFonts w:cs="Times New Roman"/>
          <w:b/>
          <w:bCs/>
          <w:color w:val="000000"/>
          <w:sz w:val="28"/>
          <w:szCs w:val="28"/>
        </w:rPr>
      </w:pPr>
      <w:r>
        <w:rPr>
          <w:rFonts w:cs="Times New Roman"/>
          <w:b/>
          <w:bCs/>
          <w:color w:val="000000"/>
          <w:sz w:val="28"/>
          <w:szCs w:val="28"/>
        </w:rPr>
        <w:t xml:space="preserve">17 novembre – </w:t>
      </w:r>
      <w:r w:rsidR="00F40FAA">
        <w:rPr>
          <w:rFonts w:cs="Times New Roman"/>
          <w:b/>
          <w:bCs/>
          <w:color w:val="000000"/>
          <w:sz w:val="28"/>
          <w:szCs w:val="28"/>
        </w:rPr>
        <w:t>La fabrique de l’histoire</w:t>
      </w:r>
    </w:p>
    <w:p w14:paraId="67EA82F0" w14:textId="26017210" w:rsidR="00F40FAA" w:rsidRPr="00A11B37" w:rsidRDefault="00F40FAA" w:rsidP="00F40FAA">
      <w:pPr>
        <w:pStyle w:val="Corpsdetexte"/>
        <w:spacing w:before="57" w:after="0"/>
        <w:rPr>
          <w:rFonts w:ascii="Cambria" w:hAnsi="Cambria"/>
          <w:color w:val="990033"/>
          <w:sz w:val="28"/>
          <w:szCs w:val="28"/>
        </w:rPr>
      </w:pPr>
      <w:r w:rsidRPr="00A11B37">
        <w:rPr>
          <w:rFonts w:ascii="Cambria" w:hAnsi="Cambria" w:cs="TimesNewRomanPS"/>
          <w:b/>
          <w:bCs/>
          <w:i/>
          <w:iCs/>
          <w:color w:val="990033"/>
          <w:sz w:val="28"/>
          <w:szCs w:val="28"/>
          <w:shd w:val="clear" w:color="auto" w:fill="FFFFFF"/>
        </w:rPr>
        <w:t>Enquête sur la recherche historique au sein de l’institution militaire en France (2020-2025)</w:t>
      </w:r>
    </w:p>
    <w:p w14:paraId="47946EB1" w14:textId="6D1BF9A0" w:rsidR="00CB79C7" w:rsidRDefault="00F40FAA" w:rsidP="00F40FAA">
      <w:pPr>
        <w:pStyle w:val="Corpsdetexte"/>
        <w:spacing w:before="57" w:after="0"/>
        <w:rPr>
          <w:rFonts w:cs="Times New Roman"/>
          <w:b/>
          <w:bCs/>
          <w:color w:val="000000"/>
          <w:sz w:val="28"/>
          <w:szCs w:val="28"/>
        </w:rPr>
      </w:pPr>
      <w:r>
        <w:rPr>
          <w:rFonts w:cs="Times New Roman"/>
          <w:color w:val="000000"/>
          <w:sz w:val="26"/>
          <w:szCs w:val="26"/>
        </w:rPr>
        <w:t>Jean-Noël Luc</w:t>
      </w:r>
      <w:r w:rsidR="00FD19D8">
        <w:rPr>
          <w:rFonts w:cs="Times New Roman"/>
          <w:color w:val="000000"/>
          <w:sz w:val="26"/>
          <w:szCs w:val="26"/>
        </w:rPr>
        <w:t xml:space="preserve"> (professeur émérite, Sorbonne Université)</w:t>
      </w:r>
    </w:p>
    <w:p w14:paraId="293B6D74" w14:textId="77777777" w:rsidR="00CB79C7" w:rsidRPr="008254F0" w:rsidRDefault="00CB79C7" w:rsidP="000D3135">
      <w:pPr>
        <w:pStyle w:val="Corpsdetexte"/>
        <w:spacing w:before="57" w:after="0"/>
        <w:rPr>
          <w:rFonts w:cs="Times New Roman"/>
          <w:b/>
          <w:bCs/>
          <w:color w:val="000000"/>
        </w:rPr>
      </w:pPr>
    </w:p>
    <w:p w14:paraId="5D0DDBD2" w14:textId="34CCE46F" w:rsidR="00403CC1" w:rsidRDefault="00CC3123" w:rsidP="000D3135">
      <w:pPr>
        <w:pStyle w:val="Corpsdetexte"/>
        <w:spacing w:before="57" w:after="0"/>
        <w:rPr>
          <w:rFonts w:cs="Times New Roman"/>
          <w:b/>
          <w:bCs/>
          <w:color w:val="000000"/>
        </w:rPr>
      </w:pPr>
      <w:r w:rsidRPr="00403CC1">
        <w:rPr>
          <w:rFonts w:cs="Times New Roman"/>
          <w:b/>
          <w:bCs/>
          <w:color w:val="000000"/>
          <w:sz w:val="28"/>
          <w:szCs w:val="28"/>
        </w:rPr>
        <w:t>2</w:t>
      </w:r>
      <w:r w:rsidR="00043EB1" w:rsidRPr="00403CC1">
        <w:rPr>
          <w:rFonts w:cs="Times New Roman"/>
          <w:b/>
          <w:bCs/>
          <w:color w:val="000000"/>
          <w:sz w:val="28"/>
          <w:szCs w:val="28"/>
        </w:rPr>
        <w:t>4</w:t>
      </w:r>
      <w:r w:rsidR="0024177C" w:rsidRPr="00403CC1">
        <w:rPr>
          <w:rFonts w:cs="Times New Roman"/>
          <w:b/>
          <w:bCs/>
          <w:color w:val="000000"/>
          <w:sz w:val="28"/>
          <w:szCs w:val="28"/>
        </w:rPr>
        <w:t xml:space="preserve"> novembre</w:t>
      </w:r>
      <w:r w:rsidR="0024177C" w:rsidRPr="008254F0">
        <w:rPr>
          <w:rFonts w:cs="Times New Roman"/>
          <w:b/>
          <w:bCs/>
          <w:color w:val="000000"/>
        </w:rPr>
        <w:t xml:space="preserve"> </w:t>
      </w:r>
      <w:r w:rsidR="00403CC1">
        <w:rPr>
          <w:rFonts w:cs="Times New Roman"/>
          <w:b/>
          <w:bCs/>
          <w:color w:val="000000"/>
        </w:rPr>
        <w:t xml:space="preserve">– </w:t>
      </w:r>
      <w:r w:rsidR="00C60B94" w:rsidRPr="00C60B94">
        <w:rPr>
          <w:rFonts w:cs="Times New Roman"/>
          <w:b/>
          <w:bCs/>
          <w:color w:val="000000"/>
          <w:sz w:val="28"/>
          <w:szCs w:val="28"/>
        </w:rPr>
        <w:t>L’informatique de l’État, enjeu de pouvoir</w:t>
      </w:r>
      <w:r w:rsidR="004C6D9C">
        <w:rPr>
          <w:rFonts w:cs="Times New Roman"/>
          <w:b/>
          <w:bCs/>
          <w:color w:val="000000"/>
          <w:sz w:val="28"/>
          <w:szCs w:val="28"/>
        </w:rPr>
        <w:t> ?</w:t>
      </w:r>
    </w:p>
    <w:p w14:paraId="34C6DB63" w14:textId="17C49B74" w:rsidR="00442BD3" w:rsidRPr="00403CC1" w:rsidRDefault="00403CC1">
      <w:pPr>
        <w:spacing w:before="57"/>
        <w:jc w:val="both"/>
        <w:rPr>
          <w:rFonts w:ascii="Cambria" w:hAnsi="Cambria"/>
          <w:b/>
          <w:bCs/>
          <w:i/>
          <w:iCs/>
          <w:color w:val="A50021"/>
          <w:sz w:val="28"/>
          <w:szCs w:val="28"/>
        </w:rPr>
      </w:pPr>
      <w:r w:rsidRPr="00403CC1">
        <w:rPr>
          <w:rFonts w:ascii="Cambria" w:hAnsi="Cambria"/>
          <w:b/>
          <w:bCs/>
          <w:i/>
          <w:iCs/>
          <w:color w:val="A50021"/>
          <w:sz w:val="28"/>
          <w:szCs w:val="28"/>
        </w:rPr>
        <w:t>Les vicissitudes de l'informatisation de la Justice en France (1967-2026)</w:t>
      </w:r>
    </w:p>
    <w:p w14:paraId="325B9A9A" w14:textId="2232BE0C" w:rsidR="00403CC1" w:rsidRPr="00403CC1" w:rsidRDefault="00403CC1">
      <w:pPr>
        <w:spacing w:before="57"/>
        <w:jc w:val="both"/>
        <w:rPr>
          <w:sz w:val="26"/>
          <w:szCs w:val="26"/>
        </w:rPr>
      </w:pPr>
      <w:r w:rsidRPr="00403CC1">
        <w:rPr>
          <w:sz w:val="26"/>
          <w:szCs w:val="26"/>
        </w:rPr>
        <w:t>Bruno Mathis (docteur en économie, laboratoire Chrome, Université de Nîmes)</w:t>
      </w:r>
    </w:p>
    <w:p w14:paraId="4EBC7640" w14:textId="77777777" w:rsidR="00403CC1" w:rsidRDefault="00403CC1">
      <w:pPr>
        <w:spacing w:before="57"/>
        <w:jc w:val="both"/>
      </w:pPr>
    </w:p>
    <w:p w14:paraId="141CA1A1" w14:textId="792C94C3" w:rsidR="00CF00AC" w:rsidRDefault="00043EB1" w:rsidP="00CF00AC">
      <w:pPr>
        <w:pStyle w:val="Corpsdetexte"/>
        <w:spacing w:before="57" w:after="0"/>
        <w:rPr>
          <w:rFonts w:cs="Times New Roman"/>
          <w:b/>
          <w:bCs/>
          <w:color w:val="000000"/>
          <w:sz w:val="28"/>
          <w:szCs w:val="28"/>
        </w:rPr>
      </w:pPr>
      <w:r>
        <w:rPr>
          <w:rFonts w:cs="Times New Roman"/>
          <w:b/>
          <w:bCs/>
          <w:color w:val="000000"/>
          <w:sz w:val="28"/>
          <w:szCs w:val="28"/>
        </w:rPr>
        <w:t>1</w:t>
      </w:r>
      <w:r w:rsidRPr="00043EB1">
        <w:rPr>
          <w:rFonts w:cs="Times New Roman"/>
          <w:b/>
          <w:bCs/>
          <w:color w:val="000000"/>
          <w:sz w:val="28"/>
          <w:szCs w:val="28"/>
          <w:vertAlign w:val="superscript"/>
        </w:rPr>
        <w:t>er</w:t>
      </w:r>
      <w:r w:rsidR="00CC3123">
        <w:rPr>
          <w:rFonts w:cs="Times New Roman"/>
          <w:b/>
          <w:bCs/>
          <w:color w:val="000000"/>
          <w:sz w:val="28"/>
          <w:szCs w:val="28"/>
        </w:rPr>
        <w:t xml:space="preserve"> décembre</w:t>
      </w:r>
      <w:r w:rsidR="0024177C">
        <w:rPr>
          <w:rFonts w:cs="Times New Roman"/>
          <w:b/>
          <w:bCs/>
          <w:color w:val="000000"/>
          <w:sz w:val="28"/>
          <w:szCs w:val="28"/>
        </w:rPr>
        <w:t xml:space="preserve"> – </w:t>
      </w:r>
      <w:r w:rsidR="00CB79C7">
        <w:rPr>
          <w:rFonts w:cs="Times New Roman"/>
          <w:b/>
          <w:bCs/>
          <w:color w:val="000000"/>
          <w:sz w:val="28"/>
          <w:szCs w:val="28"/>
        </w:rPr>
        <w:t>Crime et histoire (2)</w:t>
      </w:r>
      <w:r w:rsidR="000B2C1D">
        <w:rPr>
          <w:rFonts w:cs="Times New Roman"/>
          <w:b/>
          <w:bCs/>
          <w:color w:val="000000"/>
          <w:sz w:val="28"/>
          <w:szCs w:val="28"/>
        </w:rPr>
        <w:t xml:space="preserve"> – Exercice de recherche collective</w:t>
      </w:r>
    </w:p>
    <w:p w14:paraId="664B96ED" w14:textId="7B485B7A" w:rsidR="00442BD3" w:rsidRPr="00A11B37" w:rsidRDefault="000B2C1D">
      <w:pPr>
        <w:spacing w:before="57"/>
        <w:jc w:val="both"/>
        <w:rPr>
          <w:rFonts w:ascii="Cambria" w:hAnsi="Cambria" w:cs="TimesNewRomanPS"/>
          <w:b/>
          <w:bCs/>
          <w:i/>
          <w:iCs/>
          <w:color w:val="990033"/>
          <w:sz w:val="28"/>
          <w:szCs w:val="28"/>
          <w:shd w:val="clear" w:color="auto" w:fill="FFFFFF"/>
        </w:rPr>
      </w:pPr>
      <w:r w:rsidRPr="00A11B37">
        <w:rPr>
          <w:rFonts w:ascii="Cambria" w:hAnsi="Cambria" w:cs="TimesNewRomanPS"/>
          <w:b/>
          <w:bCs/>
          <w:i/>
          <w:iCs/>
          <w:color w:val="990033"/>
          <w:sz w:val="28"/>
          <w:szCs w:val="28"/>
          <w:shd w:val="clear" w:color="auto" w:fill="FFFFFF"/>
        </w:rPr>
        <w:t xml:space="preserve">Autour de la sous-série BB20 : la criminalité </w:t>
      </w:r>
      <w:r w:rsidR="008254F0">
        <w:rPr>
          <w:rFonts w:ascii="Cambria" w:hAnsi="Cambria" w:cs="TimesNewRomanPS"/>
          <w:b/>
          <w:bCs/>
          <w:i/>
          <w:iCs/>
          <w:color w:val="990033"/>
          <w:sz w:val="28"/>
          <w:szCs w:val="28"/>
          <w:shd w:val="clear" w:color="auto" w:fill="FFFFFF"/>
        </w:rPr>
        <w:t xml:space="preserve">en France </w:t>
      </w:r>
      <w:r w:rsidRPr="00A11B37">
        <w:rPr>
          <w:rFonts w:ascii="Cambria" w:hAnsi="Cambria" w:cs="TimesNewRomanPS"/>
          <w:b/>
          <w:bCs/>
          <w:i/>
          <w:iCs/>
          <w:color w:val="990033"/>
          <w:sz w:val="28"/>
          <w:szCs w:val="28"/>
          <w:shd w:val="clear" w:color="auto" w:fill="FFFFFF"/>
        </w:rPr>
        <w:t>au XIXe siècle</w:t>
      </w:r>
    </w:p>
    <w:p w14:paraId="38E9E855" w14:textId="77777777" w:rsidR="000B2C1D" w:rsidRDefault="000B2C1D">
      <w:pPr>
        <w:spacing w:before="57"/>
        <w:jc w:val="both"/>
        <w:rPr>
          <w:rFonts w:cs="Times New Roman"/>
          <w:color w:val="000000"/>
          <w:sz w:val="22"/>
          <w:szCs w:val="22"/>
        </w:rPr>
      </w:pPr>
    </w:p>
    <w:p w14:paraId="7CE9F6E8" w14:textId="5872D481" w:rsidR="00442BD3" w:rsidRDefault="00043EB1">
      <w:pPr>
        <w:spacing w:before="57"/>
        <w:jc w:val="both"/>
      </w:pPr>
      <w:r>
        <w:rPr>
          <w:rFonts w:cs="Times New Roman"/>
          <w:b/>
          <w:bCs/>
          <w:color w:val="000000"/>
          <w:spacing w:val="-8"/>
          <w:sz w:val="28"/>
          <w:szCs w:val="28"/>
        </w:rPr>
        <w:t>8</w:t>
      </w:r>
      <w:r w:rsidR="0024177C">
        <w:rPr>
          <w:rFonts w:cs="Times New Roman"/>
          <w:b/>
          <w:bCs/>
          <w:color w:val="000000"/>
          <w:spacing w:val="-8"/>
          <w:sz w:val="28"/>
          <w:szCs w:val="28"/>
        </w:rPr>
        <w:t xml:space="preserve"> décembre –</w:t>
      </w:r>
      <w:r w:rsidR="00013C23">
        <w:rPr>
          <w:rFonts w:cs="Times New Roman"/>
          <w:b/>
          <w:bCs/>
          <w:color w:val="000000"/>
          <w:spacing w:val="-8"/>
          <w:sz w:val="28"/>
          <w:szCs w:val="28"/>
        </w:rPr>
        <w:t xml:space="preserve"> </w:t>
      </w:r>
      <w:r w:rsidR="00F92E49">
        <w:rPr>
          <w:rFonts w:cs="Times New Roman"/>
          <w:b/>
          <w:bCs/>
          <w:color w:val="000000"/>
          <w:spacing w:val="-8"/>
          <w:sz w:val="28"/>
          <w:szCs w:val="28"/>
        </w:rPr>
        <w:t>Un nouveau domaine pour la sécurité publique et privée</w:t>
      </w:r>
    </w:p>
    <w:p w14:paraId="36B2294E" w14:textId="487273EB" w:rsidR="00442BD3" w:rsidRPr="00A11B37" w:rsidRDefault="00DE6B9D">
      <w:pPr>
        <w:spacing w:before="57"/>
        <w:jc w:val="both"/>
        <w:rPr>
          <w:rFonts w:ascii="Cambria" w:hAnsi="Cambria"/>
          <w:color w:val="990033"/>
          <w:sz w:val="28"/>
          <w:szCs w:val="28"/>
        </w:rPr>
      </w:pPr>
      <w:r w:rsidRPr="00A11B37">
        <w:rPr>
          <w:rFonts w:ascii="Cambria" w:hAnsi="Cambria" w:cs="Times New Roman"/>
          <w:b/>
          <w:bCs/>
          <w:i/>
          <w:iCs/>
          <w:color w:val="990033"/>
          <w:spacing w:val="-8"/>
          <w:sz w:val="28"/>
          <w:szCs w:val="28"/>
        </w:rPr>
        <w:t>La sûreté aéroportuaire en Europe</w:t>
      </w:r>
      <w:r w:rsidR="008254F0">
        <w:rPr>
          <w:rFonts w:ascii="Cambria" w:hAnsi="Cambria" w:cs="Times New Roman"/>
          <w:b/>
          <w:bCs/>
          <w:i/>
          <w:iCs/>
          <w:color w:val="990033"/>
          <w:spacing w:val="-8"/>
          <w:sz w:val="28"/>
          <w:szCs w:val="28"/>
        </w:rPr>
        <w:t>,</w:t>
      </w:r>
      <w:r w:rsidRPr="00A11B37">
        <w:rPr>
          <w:rFonts w:ascii="Cambria" w:hAnsi="Cambria" w:cs="Times New Roman"/>
          <w:b/>
          <w:bCs/>
          <w:i/>
          <w:iCs/>
          <w:color w:val="990033"/>
          <w:spacing w:val="-8"/>
          <w:sz w:val="28"/>
          <w:szCs w:val="28"/>
        </w:rPr>
        <w:t xml:space="preserve"> des années 1960 aux années 1980</w:t>
      </w:r>
    </w:p>
    <w:p w14:paraId="6BE754F3" w14:textId="1EF9D6BD" w:rsidR="00442BD3" w:rsidRPr="00F404CC" w:rsidRDefault="006E3C23">
      <w:pPr>
        <w:spacing w:before="60"/>
        <w:jc w:val="both"/>
        <w:rPr>
          <w:sz w:val="26"/>
          <w:szCs w:val="26"/>
        </w:rPr>
      </w:pPr>
      <w:r>
        <w:rPr>
          <w:rFonts w:cs="Times New Roman"/>
          <w:color w:val="000000"/>
          <w:spacing w:val="-8"/>
          <w:sz w:val="26"/>
          <w:szCs w:val="26"/>
        </w:rPr>
        <w:t>Mickaël Georgeault</w:t>
      </w:r>
      <w:r w:rsidR="00DE6B9D">
        <w:rPr>
          <w:rFonts w:cs="Times New Roman"/>
          <w:color w:val="000000"/>
          <w:spacing w:val="-8"/>
          <w:sz w:val="26"/>
          <w:szCs w:val="26"/>
        </w:rPr>
        <w:t xml:space="preserve"> (docteur en histoire, université de Strasbourg)</w:t>
      </w:r>
      <w:r w:rsidR="00F40FAA">
        <w:rPr>
          <w:rFonts w:cs="Times New Roman"/>
          <w:color w:val="000000"/>
          <w:spacing w:val="-8"/>
          <w:sz w:val="26"/>
          <w:szCs w:val="26"/>
        </w:rPr>
        <w:t xml:space="preserve"> </w:t>
      </w:r>
    </w:p>
    <w:p w14:paraId="729445BB" w14:textId="77777777" w:rsidR="00220851" w:rsidRDefault="00220851">
      <w:pPr>
        <w:spacing w:before="57"/>
        <w:jc w:val="both"/>
        <w:rPr>
          <w:rFonts w:cs="Times New Roman"/>
          <w:b/>
          <w:bCs/>
          <w:color w:val="000000"/>
          <w:spacing w:val="-8"/>
          <w:sz w:val="28"/>
          <w:szCs w:val="28"/>
        </w:rPr>
      </w:pPr>
    </w:p>
    <w:p w14:paraId="4997D432" w14:textId="27DA86E3" w:rsidR="00A7163C" w:rsidRDefault="00000000" w:rsidP="00A7163C">
      <w:pPr>
        <w:spacing w:before="57"/>
        <w:jc w:val="both"/>
        <w:rPr>
          <w:rFonts w:cs="Times New Roman"/>
          <w:b/>
          <w:bCs/>
          <w:color w:val="000000"/>
          <w:sz w:val="28"/>
          <w:szCs w:val="28"/>
        </w:rPr>
      </w:pPr>
      <w:r>
        <w:rPr>
          <w:rFonts w:cs="Times New Roman"/>
          <w:b/>
          <w:bCs/>
          <w:color w:val="000000"/>
          <w:spacing w:val="-8"/>
          <w:sz w:val="28"/>
          <w:szCs w:val="28"/>
        </w:rPr>
        <w:t>1</w:t>
      </w:r>
      <w:r w:rsidR="00043EB1">
        <w:rPr>
          <w:rFonts w:cs="Times New Roman"/>
          <w:b/>
          <w:bCs/>
          <w:color w:val="000000"/>
          <w:spacing w:val="-8"/>
          <w:sz w:val="28"/>
          <w:szCs w:val="28"/>
        </w:rPr>
        <w:t>5</w:t>
      </w:r>
      <w:r>
        <w:rPr>
          <w:rFonts w:cs="Times New Roman"/>
          <w:b/>
          <w:bCs/>
          <w:color w:val="000000"/>
          <w:spacing w:val="-8"/>
          <w:sz w:val="28"/>
          <w:szCs w:val="28"/>
        </w:rPr>
        <w:t xml:space="preserve"> décembre </w:t>
      </w:r>
      <w:r w:rsidR="00A7163C">
        <w:rPr>
          <w:rFonts w:cs="Times New Roman"/>
          <w:b/>
          <w:bCs/>
          <w:color w:val="000000"/>
          <w:spacing w:val="-8"/>
          <w:sz w:val="28"/>
          <w:szCs w:val="28"/>
        </w:rPr>
        <w:t>–</w:t>
      </w:r>
      <w:r w:rsidR="00220851">
        <w:rPr>
          <w:rFonts w:cs="Times New Roman"/>
          <w:b/>
          <w:bCs/>
          <w:color w:val="000000"/>
          <w:spacing w:val="-8"/>
          <w:sz w:val="28"/>
          <w:szCs w:val="28"/>
        </w:rPr>
        <w:t xml:space="preserve"> </w:t>
      </w:r>
      <w:r w:rsidR="000B2C1D">
        <w:rPr>
          <w:rFonts w:cs="Times New Roman"/>
          <w:b/>
          <w:bCs/>
          <w:color w:val="000000"/>
          <w:sz w:val="28"/>
          <w:szCs w:val="28"/>
        </w:rPr>
        <w:t>Crime et histoire (3) – Exercice de recherche collective</w:t>
      </w:r>
    </w:p>
    <w:p w14:paraId="077F6F31" w14:textId="37E72D83" w:rsidR="00043EB1" w:rsidRPr="00A11B37" w:rsidRDefault="000B2C1D" w:rsidP="00A7163C">
      <w:pPr>
        <w:spacing w:before="57"/>
        <w:jc w:val="both"/>
        <w:rPr>
          <w:rFonts w:cs="Times New Roman"/>
          <w:b/>
          <w:bCs/>
          <w:color w:val="990033"/>
          <w:sz w:val="28"/>
          <w:szCs w:val="28"/>
        </w:rPr>
      </w:pPr>
      <w:r w:rsidRPr="00A11B37">
        <w:rPr>
          <w:rFonts w:ascii="Cambria" w:hAnsi="Cambria" w:cs="TimesNewRomanPS"/>
          <w:b/>
          <w:bCs/>
          <w:i/>
          <w:iCs/>
          <w:color w:val="990033"/>
          <w:sz w:val="28"/>
          <w:szCs w:val="28"/>
          <w:shd w:val="clear" w:color="auto" w:fill="FFFFFF"/>
        </w:rPr>
        <w:t xml:space="preserve">Autour de la sous-série BB24 : la criminalité </w:t>
      </w:r>
      <w:r w:rsidR="008254F0">
        <w:rPr>
          <w:rFonts w:ascii="Cambria" w:hAnsi="Cambria" w:cs="TimesNewRomanPS"/>
          <w:b/>
          <w:bCs/>
          <w:i/>
          <w:iCs/>
          <w:color w:val="990033"/>
          <w:sz w:val="28"/>
          <w:szCs w:val="28"/>
          <w:shd w:val="clear" w:color="auto" w:fill="FFFFFF"/>
        </w:rPr>
        <w:t xml:space="preserve">en France </w:t>
      </w:r>
      <w:r w:rsidRPr="00A11B37">
        <w:rPr>
          <w:rFonts w:ascii="Cambria" w:hAnsi="Cambria" w:cs="TimesNewRomanPS"/>
          <w:b/>
          <w:bCs/>
          <w:i/>
          <w:iCs/>
          <w:color w:val="990033"/>
          <w:sz w:val="28"/>
          <w:szCs w:val="28"/>
          <w:shd w:val="clear" w:color="auto" w:fill="FFFFFF"/>
        </w:rPr>
        <w:t>au début du XXe siècle</w:t>
      </w:r>
    </w:p>
    <w:p w14:paraId="7A3ABA49" w14:textId="77777777" w:rsidR="00442BD3" w:rsidRDefault="00442BD3">
      <w:pPr>
        <w:spacing w:before="60"/>
        <w:jc w:val="both"/>
        <w:rPr>
          <w:rFonts w:cs="Times New Roman"/>
          <w:color w:val="000000"/>
          <w:spacing w:val="-8"/>
          <w:sz w:val="28"/>
          <w:szCs w:val="28"/>
        </w:rPr>
      </w:pPr>
    </w:p>
    <w:sectPr w:rsidR="00442BD3">
      <w:headerReference w:type="even" r:id="rId11"/>
      <w:headerReference w:type="default" r:id="rId12"/>
      <w:footerReference w:type="even" r:id="rId13"/>
      <w:footerReference w:type="default" r:id="rId14"/>
      <w:headerReference w:type="first" r:id="rId15"/>
      <w:footerReference w:type="first" r:id="rId16"/>
      <w:pgSz w:w="11906" w:h="16838"/>
      <w:pgMar w:top="907" w:right="964" w:bottom="851" w:left="964" w:header="0" w:footer="0" w:gutter="0"/>
      <w:cols w:space="720"/>
      <w:formProt w:val="0"/>
      <w:docGrid w:linePitch="600" w:charSpace="3276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43729C" w14:textId="77777777" w:rsidR="00A02FB4" w:rsidRDefault="00A02FB4" w:rsidP="0024177C">
      <w:r>
        <w:separator/>
      </w:r>
    </w:p>
  </w:endnote>
  <w:endnote w:type="continuationSeparator" w:id="0">
    <w:p w14:paraId="1571995F" w14:textId="77777777" w:rsidR="00A02FB4" w:rsidRDefault="00A02FB4" w:rsidP="002417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Liberation Sans">
    <w:altName w:val="Arial"/>
    <w:charset w:val="01"/>
    <w:family w:val="roman"/>
    <w:pitch w:val="variable"/>
  </w:font>
  <w:font w:name="PingFang SC">
    <w:charset w:val="86"/>
    <w:family w:val="swiss"/>
    <w:pitch w:val="variable"/>
    <w:sig w:usb0="A00002FF" w:usb1="7ACFFDFB" w:usb2="00000017" w:usb3="00000000" w:csb0="0004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NewRomanPS">
    <w:altName w:val="Times New Roman"/>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B5D239" w14:textId="77777777" w:rsidR="0024177C" w:rsidRDefault="0024177C">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F6374C" w14:textId="77777777" w:rsidR="0024177C" w:rsidRDefault="0024177C">
    <w:pPr>
      <w:pStyle w:val="Pieddepag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8FBAC9" w14:textId="77777777" w:rsidR="0024177C" w:rsidRDefault="0024177C">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F3E193" w14:textId="77777777" w:rsidR="00A02FB4" w:rsidRDefault="00A02FB4" w:rsidP="0024177C">
      <w:r>
        <w:separator/>
      </w:r>
    </w:p>
  </w:footnote>
  <w:footnote w:type="continuationSeparator" w:id="0">
    <w:p w14:paraId="79BDA252" w14:textId="77777777" w:rsidR="00A02FB4" w:rsidRDefault="00A02FB4" w:rsidP="0024177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691520" w14:textId="77777777" w:rsidR="0024177C" w:rsidRDefault="0024177C">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0F0537" w14:textId="77777777" w:rsidR="0024177C" w:rsidRDefault="0024177C">
    <w:pPr>
      <w:pStyle w:val="En-tt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D8319B" w14:textId="77777777" w:rsidR="0024177C" w:rsidRDefault="0024177C">
    <w:pPr>
      <w:pStyle w:val="En-tt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isplayBackgroundShape/>
  <w:embedSystemFonts/>
  <w:proofState w:spelling="clean" w:grammar="clean"/>
  <w:defaultTabStop w:val="709"/>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2BD3"/>
    <w:rsid w:val="00013C23"/>
    <w:rsid w:val="0002286C"/>
    <w:rsid w:val="00043EB1"/>
    <w:rsid w:val="0006628A"/>
    <w:rsid w:val="0007769B"/>
    <w:rsid w:val="000860AF"/>
    <w:rsid w:val="000A35FD"/>
    <w:rsid w:val="000B2C1D"/>
    <w:rsid w:val="000B77B8"/>
    <w:rsid w:val="000C6E11"/>
    <w:rsid w:val="000D3135"/>
    <w:rsid w:val="00111A48"/>
    <w:rsid w:val="001412E2"/>
    <w:rsid w:val="00150622"/>
    <w:rsid w:val="00186A72"/>
    <w:rsid w:val="001B6649"/>
    <w:rsid w:val="001D7278"/>
    <w:rsid w:val="001F71E3"/>
    <w:rsid w:val="00211E73"/>
    <w:rsid w:val="00220851"/>
    <w:rsid w:val="00224721"/>
    <w:rsid w:val="002276DE"/>
    <w:rsid w:val="00236005"/>
    <w:rsid w:val="0024177C"/>
    <w:rsid w:val="00282B2F"/>
    <w:rsid w:val="00287170"/>
    <w:rsid w:val="002905D5"/>
    <w:rsid w:val="002A76B1"/>
    <w:rsid w:val="002B5555"/>
    <w:rsid w:val="00317A62"/>
    <w:rsid w:val="00372358"/>
    <w:rsid w:val="00374D9F"/>
    <w:rsid w:val="003B0214"/>
    <w:rsid w:val="003B59C0"/>
    <w:rsid w:val="003D438D"/>
    <w:rsid w:val="00403CC1"/>
    <w:rsid w:val="004337AA"/>
    <w:rsid w:val="00442BD3"/>
    <w:rsid w:val="00457A8E"/>
    <w:rsid w:val="00472C66"/>
    <w:rsid w:val="004B2C8C"/>
    <w:rsid w:val="004C5969"/>
    <w:rsid w:val="004C6D9C"/>
    <w:rsid w:val="004E589F"/>
    <w:rsid w:val="004E5BCA"/>
    <w:rsid w:val="0050028B"/>
    <w:rsid w:val="005461B0"/>
    <w:rsid w:val="00573179"/>
    <w:rsid w:val="0057336C"/>
    <w:rsid w:val="00584A0B"/>
    <w:rsid w:val="005E38EB"/>
    <w:rsid w:val="006B3D2A"/>
    <w:rsid w:val="006E3C23"/>
    <w:rsid w:val="0078253E"/>
    <w:rsid w:val="00792454"/>
    <w:rsid w:val="007A5E29"/>
    <w:rsid w:val="007C5A58"/>
    <w:rsid w:val="007E2D76"/>
    <w:rsid w:val="0081677F"/>
    <w:rsid w:val="008254F0"/>
    <w:rsid w:val="0086339F"/>
    <w:rsid w:val="00871D4B"/>
    <w:rsid w:val="00882C92"/>
    <w:rsid w:val="008932DB"/>
    <w:rsid w:val="008A5F17"/>
    <w:rsid w:val="008D1924"/>
    <w:rsid w:val="008D752B"/>
    <w:rsid w:val="00935C80"/>
    <w:rsid w:val="00965D72"/>
    <w:rsid w:val="00A02FB4"/>
    <w:rsid w:val="00A11B37"/>
    <w:rsid w:val="00A12F78"/>
    <w:rsid w:val="00A25720"/>
    <w:rsid w:val="00A64426"/>
    <w:rsid w:val="00A7163C"/>
    <w:rsid w:val="00A82EE2"/>
    <w:rsid w:val="00A910DA"/>
    <w:rsid w:val="00AC1BAC"/>
    <w:rsid w:val="00AE6DC8"/>
    <w:rsid w:val="00AF707D"/>
    <w:rsid w:val="00B15851"/>
    <w:rsid w:val="00B44B15"/>
    <w:rsid w:val="00B801CF"/>
    <w:rsid w:val="00B85877"/>
    <w:rsid w:val="00BD585E"/>
    <w:rsid w:val="00C07030"/>
    <w:rsid w:val="00C60B94"/>
    <w:rsid w:val="00C66506"/>
    <w:rsid w:val="00C76C01"/>
    <w:rsid w:val="00CB79C7"/>
    <w:rsid w:val="00CC3123"/>
    <w:rsid w:val="00CE091F"/>
    <w:rsid w:val="00CF00AC"/>
    <w:rsid w:val="00D24556"/>
    <w:rsid w:val="00D62F45"/>
    <w:rsid w:val="00D8023C"/>
    <w:rsid w:val="00DA15AC"/>
    <w:rsid w:val="00DC40AA"/>
    <w:rsid w:val="00DE6B9D"/>
    <w:rsid w:val="00E210D3"/>
    <w:rsid w:val="00E5588D"/>
    <w:rsid w:val="00E56340"/>
    <w:rsid w:val="00E66880"/>
    <w:rsid w:val="00E73BBF"/>
    <w:rsid w:val="00EC5AC7"/>
    <w:rsid w:val="00F13AC2"/>
    <w:rsid w:val="00F404CC"/>
    <w:rsid w:val="00F40FAA"/>
    <w:rsid w:val="00F5402C"/>
    <w:rsid w:val="00F92E49"/>
    <w:rsid w:val="00FB5A9E"/>
    <w:rsid w:val="00FD19D8"/>
    <w:rsid w:val="00FD283A"/>
  </w:rsids>
  <m:mathPr>
    <m:mathFont m:val="Cambria Math"/>
    <m:brkBin m:val="before"/>
    <m:brkBinSub m:val="--"/>
    <m:smallFrac m:val="0"/>
    <m:dispDef/>
    <m:lMargin m:val="0"/>
    <m:rMargin m:val="0"/>
    <m:defJc m:val="centerGroup"/>
    <m:wrapIndent m:val="1440"/>
    <m:intLim m:val="subSup"/>
    <m:naryLim m:val="undOvr"/>
  </m:mathPr>
  <w:themeFontLang w:val="fr-FR"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DEC9CD"/>
  <w15:docId w15:val="{88AC4DB5-A098-3546-8FE1-2DE32CEAB0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FR" w:eastAsia="fr-FR"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pPr>
    <w:rPr>
      <w:rFonts w:eastAsia="Arial Unicode MS" w:cs="Arial Unicode MS"/>
      <w:kern w:val="2"/>
      <w:sz w:val="24"/>
      <w:szCs w:val="24"/>
      <w:lang w:eastAsia="zh-CN" w:bidi="hi-IN"/>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Policepardfaut1">
    <w:name w:val="Police par défaut1"/>
    <w:qFormat/>
  </w:style>
  <w:style w:type="character" w:styleId="Lienhypertexte">
    <w:name w:val="Hyperlink"/>
    <w:rPr>
      <w:color w:val="0000FF"/>
      <w:u w:val="single"/>
    </w:rPr>
  </w:style>
  <w:style w:type="character" w:styleId="Lienhypertextesuivivisit">
    <w:name w:val="FollowedHyperlink"/>
    <w:rPr>
      <w:color w:val="800000"/>
      <w:u w:val="single"/>
    </w:rPr>
  </w:style>
  <w:style w:type="character" w:customStyle="1" w:styleId="Caractresdenotedebasdepage">
    <w:name w:val="Caractères de note de bas de page"/>
    <w:qFormat/>
    <w:rPr>
      <w:vertAlign w:val="superscript"/>
    </w:rPr>
  </w:style>
  <w:style w:type="character" w:customStyle="1" w:styleId="WW-Caractresdenotedebasdepage">
    <w:name w:val="WW-Caractères de note de bas de page"/>
    <w:qFormat/>
  </w:style>
  <w:style w:type="character" w:customStyle="1" w:styleId="Caractresdenotedefin">
    <w:name w:val="Caractères de note de fin"/>
    <w:qFormat/>
    <w:rPr>
      <w:vertAlign w:val="superscript"/>
    </w:rPr>
  </w:style>
  <w:style w:type="character" w:customStyle="1" w:styleId="WW-Caractresdenotedefin">
    <w:name w:val="WW-Caractères de note de fin"/>
    <w:qFormat/>
  </w:style>
  <w:style w:type="character" w:customStyle="1" w:styleId="Appelnotedebasdep1">
    <w:name w:val="Appel note de bas de p.1"/>
    <w:qFormat/>
    <w:rPr>
      <w:vertAlign w:val="superscript"/>
    </w:rPr>
  </w:style>
  <w:style w:type="character" w:customStyle="1" w:styleId="Appeldenotedefin1">
    <w:name w:val="Appel de note de fin1"/>
    <w:qFormat/>
    <w:rPr>
      <w:vertAlign w:val="superscript"/>
    </w:rPr>
  </w:style>
  <w:style w:type="character" w:customStyle="1" w:styleId="Sous-titreCar">
    <w:name w:val="Sous-titre Car"/>
    <w:qFormat/>
    <w:rPr>
      <w:rFonts w:ascii="Calibri Light" w:eastAsia="Times New Roman" w:hAnsi="Calibri Light" w:cs="Mangal"/>
      <w:kern w:val="2"/>
      <w:sz w:val="24"/>
      <w:szCs w:val="21"/>
      <w:lang w:bidi="hi-IN"/>
    </w:rPr>
  </w:style>
  <w:style w:type="character" w:styleId="Accentuationlgre">
    <w:name w:val="Subtle Emphasis"/>
    <w:qFormat/>
    <w:rPr>
      <w:i/>
      <w:iCs/>
      <w:color w:val="404040"/>
    </w:rPr>
  </w:style>
  <w:style w:type="character" w:styleId="Mentionnonrsolue">
    <w:name w:val="Unresolved Mention"/>
    <w:qFormat/>
    <w:rPr>
      <w:color w:val="605E5C"/>
      <w:shd w:val="clear" w:color="auto" w:fill="E1DFDD"/>
    </w:rPr>
  </w:style>
  <w:style w:type="character" w:customStyle="1" w:styleId="Appeldenote">
    <w:name w:val="Appel de note"/>
    <w:qFormat/>
    <w:rPr>
      <w:vertAlign w:val="superscript"/>
    </w:rPr>
  </w:style>
  <w:style w:type="paragraph" w:styleId="Titre">
    <w:name w:val="Title"/>
    <w:basedOn w:val="Normal"/>
    <w:next w:val="Corpsdetexte"/>
    <w:qFormat/>
    <w:pPr>
      <w:keepNext/>
      <w:spacing w:before="240" w:after="120"/>
    </w:pPr>
    <w:rPr>
      <w:rFonts w:ascii="Liberation Sans" w:eastAsia="PingFang SC" w:hAnsi="Liberation Sans"/>
      <w:sz w:val="28"/>
      <w:szCs w:val="28"/>
    </w:rPr>
  </w:style>
  <w:style w:type="paragraph" w:styleId="Corpsdetexte">
    <w:name w:val="Body Text"/>
    <w:basedOn w:val="Normal"/>
    <w:pPr>
      <w:spacing w:after="120"/>
    </w:pPr>
  </w:style>
  <w:style w:type="paragraph" w:styleId="Liste">
    <w:name w:val="List"/>
    <w:basedOn w:val="Corpsdetexte"/>
  </w:style>
  <w:style w:type="paragraph" w:styleId="Lgende">
    <w:name w:val="caption"/>
    <w:basedOn w:val="Normal"/>
    <w:qFormat/>
    <w:pPr>
      <w:suppressLineNumbers/>
      <w:spacing w:before="120" w:after="120"/>
    </w:pPr>
    <w:rPr>
      <w:i/>
      <w:iCs/>
    </w:rPr>
  </w:style>
  <w:style w:type="paragraph" w:customStyle="1" w:styleId="Index">
    <w:name w:val="Index"/>
    <w:basedOn w:val="Normal"/>
    <w:qFormat/>
    <w:pPr>
      <w:suppressLineNumbers/>
    </w:pPr>
  </w:style>
  <w:style w:type="paragraph" w:customStyle="1" w:styleId="Titre2">
    <w:name w:val="Titre2"/>
    <w:basedOn w:val="Normal"/>
    <w:next w:val="Corpsdetexte"/>
    <w:qFormat/>
    <w:pPr>
      <w:keepNext/>
      <w:spacing w:before="240" w:after="120"/>
    </w:pPr>
    <w:rPr>
      <w:rFonts w:ascii="Arial" w:hAnsi="Arial"/>
      <w:sz w:val="28"/>
      <w:szCs w:val="28"/>
    </w:rPr>
  </w:style>
  <w:style w:type="paragraph" w:customStyle="1" w:styleId="Titre1">
    <w:name w:val="Titre1"/>
    <w:basedOn w:val="Normal"/>
    <w:next w:val="Corpsdetexte"/>
    <w:qFormat/>
    <w:pPr>
      <w:keepNext/>
      <w:spacing w:before="240" w:after="120"/>
    </w:pPr>
    <w:rPr>
      <w:rFonts w:ascii="Arial" w:hAnsi="Arial"/>
      <w:sz w:val="28"/>
      <w:szCs w:val="28"/>
    </w:rPr>
  </w:style>
  <w:style w:type="paragraph" w:customStyle="1" w:styleId="Lgende1">
    <w:name w:val="Légende1"/>
    <w:basedOn w:val="Normal"/>
    <w:qFormat/>
    <w:pPr>
      <w:suppressLineNumbers/>
      <w:spacing w:before="120" w:after="120"/>
    </w:pPr>
    <w:rPr>
      <w:i/>
      <w:iCs/>
    </w:rPr>
  </w:style>
  <w:style w:type="paragraph" w:styleId="Notedebasdepage">
    <w:name w:val="footnote text"/>
    <w:basedOn w:val="Normal"/>
    <w:pPr>
      <w:suppressLineNumbers/>
      <w:ind w:left="283" w:hanging="283"/>
    </w:pPr>
    <w:rPr>
      <w:sz w:val="20"/>
      <w:szCs w:val="20"/>
    </w:rPr>
  </w:style>
  <w:style w:type="paragraph" w:styleId="Citation">
    <w:name w:val="Quote"/>
    <w:basedOn w:val="Normal"/>
    <w:qFormat/>
    <w:pPr>
      <w:spacing w:after="283"/>
      <w:ind w:left="567" w:right="567"/>
    </w:pPr>
  </w:style>
  <w:style w:type="paragraph" w:styleId="Sous-titre">
    <w:name w:val="Subtitle"/>
    <w:basedOn w:val="Normal"/>
    <w:next w:val="Normal"/>
    <w:qFormat/>
    <w:pPr>
      <w:spacing w:after="60"/>
      <w:jc w:val="center"/>
    </w:pPr>
    <w:rPr>
      <w:rFonts w:ascii="Calibri Light" w:eastAsia="Times New Roman" w:hAnsi="Calibri Light" w:cs="Mangal"/>
      <w:szCs w:val="21"/>
    </w:rPr>
  </w:style>
  <w:style w:type="paragraph" w:styleId="En-tte">
    <w:name w:val="header"/>
    <w:basedOn w:val="Normal"/>
    <w:link w:val="En-tteCar"/>
    <w:uiPriority w:val="99"/>
    <w:unhideWhenUsed/>
    <w:rsid w:val="0024177C"/>
    <w:pPr>
      <w:tabs>
        <w:tab w:val="center" w:pos="4536"/>
        <w:tab w:val="right" w:pos="9072"/>
      </w:tabs>
    </w:pPr>
    <w:rPr>
      <w:rFonts w:cs="Mangal"/>
      <w:szCs w:val="21"/>
    </w:rPr>
  </w:style>
  <w:style w:type="character" w:customStyle="1" w:styleId="En-tteCar">
    <w:name w:val="En-tête Car"/>
    <w:basedOn w:val="Policepardfaut"/>
    <w:link w:val="En-tte"/>
    <w:uiPriority w:val="99"/>
    <w:rsid w:val="0024177C"/>
    <w:rPr>
      <w:rFonts w:eastAsia="Arial Unicode MS" w:cs="Mangal"/>
      <w:kern w:val="2"/>
      <w:sz w:val="24"/>
      <w:szCs w:val="21"/>
      <w:lang w:eastAsia="zh-CN" w:bidi="hi-IN"/>
    </w:rPr>
  </w:style>
  <w:style w:type="paragraph" w:styleId="Pieddepage">
    <w:name w:val="footer"/>
    <w:basedOn w:val="Normal"/>
    <w:link w:val="PieddepageCar"/>
    <w:uiPriority w:val="99"/>
    <w:unhideWhenUsed/>
    <w:rsid w:val="0024177C"/>
    <w:pPr>
      <w:tabs>
        <w:tab w:val="center" w:pos="4536"/>
        <w:tab w:val="right" w:pos="9072"/>
      </w:tabs>
    </w:pPr>
    <w:rPr>
      <w:rFonts w:cs="Mangal"/>
      <w:szCs w:val="21"/>
    </w:rPr>
  </w:style>
  <w:style w:type="character" w:customStyle="1" w:styleId="PieddepageCar">
    <w:name w:val="Pied de page Car"/>
    <w:basedOn w:val="Policepardfaut"/>
    <w:link w:val="Pieddepage"/>
    <w:uiPriority w:val="99"/>
    <w:rsid w:val="0024177C"/>
    <w:rPr>
      <w:rFonts w:eastAsia="Arial Unicode MS" w:cs="Mangal"/>
      <w:kern w:val="2"/>
      <w:sz w:val="24"/>
      <w:szCs w:val="21"/>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eader" Target="header3.xml"/><Relationship Id="rId10" Type="http://schemas.openxmlformats.org/officeDocument/2006/relationships/hyperlink" Target="mailto:arnaud.houte@sorbonne-universite.fr" TargetMode="Externa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footer" Target="footer2.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FCFF3DB-F0EA-4EE6-AEEF-7C0C01EA52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2</Pages>
  <Words>612</Words>
  <Characters>3367</Characters>
  <Application>Microsoft Office Word</Application>
  <DocSecurity>0</DocSecurity>
  <Lines>28</Lines>
  <Paragraphs>7</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3972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arnaud houte</dc:creator>
  <dc:description/>
  <cp:lastModifiedBy>Jean-Noël Luc</cp:lastModifiedBy>
  <cp:revision>6</cp:revision>
  <cp:lastPrinted>1899-12-31T23:50:00Z</cp:lastPrinted>
  <dcterms:created xsi:type="dcterms:W3CDTF">2026-09-09T07:58:00Z</dcterms:created>
  <dcterms:modified xsi:type="dcterms:W3CDTF">2026-09-10T17:53:00Z</dcterms:modified>
  <dc:language>fr-FR</dc:language>
</cp:coreProperties>
</file>