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C81F14" w14:textId="0DF7DE00" w:rsidR="00CE44DE" w:rsidRDefault="00CE44DE" w:rsidP="00CE44DE">
      <w:pPr>
        <w:pStyle w:val="Sous-titre"/>
        <w:rPr>
          <w:rFonts w:eastAsia="Calibri Light" w:cs="Calibri Light"/>
        </w:rPr>
      </w:pPr>
      <w:r>
        <w:rPr>
          <w:noProof/>
        </w:rPr>
        <w:drawing>
          <wp:anchor distT="0" distB="0" distL="0" distR="0" simplePos="0" relativeHeight="251661312" behindDoc="0" locked="0" layoutInCell="0" allowOverlap="1" wp14:anchorId="1C5D2EB0" wp14:editId="1A724394">
            <wp:simplePos x="0" y="0"/>
            <wp:positionH relativeFrom="column">
              <wp:posOffset>2426335</wp:posOffset>
            </wp:positionH>
            <wp:positionV relativeFrom="paragraph">
              <wp:posOffset>946150</wp:posOffset>
            </wp:positionV>
            <wp:extent cx="1893600" cy="525600"/>
            <wp:effectExtent l="0" t="0" r="0" b="8255"/>
            <wp:wrapTopAndBottom/>
            <wp:docPr id="924289505" name="Image 924289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pic:cNvPicPr>
                      <a:picLocks noChangeAspect="1" noChangeArrowheads="1"/>
                    </pic:cNvPicPr>
                  </pic:nvPicPr>
                  <pic:blipFill>
                    <a:blip r:embed="rId6"/>
                    <a:srcRect l="-35" t="-107" r="-35" b="-107"/>
                    <a:stretch>
                      <a:fillRect/>
                    </a:stretch>
                  </pic:blipFill>
                  <pic:spPr bwMode="auto">
                    <a:xfrm>
                      <a:off x="0" y="0"/>
                      <a:ext cx="1893600" cy="525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C0B21F6" wp14:editId="790C6922">
            <wp:extent cx="1191600" cy="478800"/>
            <wp:effectExtent l="0" t="0" r="8890" b="0"/>
            <wp:docPr id="1955359441" name="Image 1955359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pic:cNvPicPr>
                      <a:picLocks noChangeAspect="1" noChangeArrowheads="1"/>
                    </pic:cNvPicPr>
                  </pic:nvPicPr>
                  <pic:blipFill>
                    <a:blip r:embed="rId7"/>
                    <a:srcRect l="-79" t="-197" r="-79" b="-197"/>
                    <a:stretch>
                      <a:fillRect/>
                    </a:stretch>
                  </pic:blipFill>
                  <pic:spPr bwMode="auto">
                    <a:xfrm>
                      <a:off x="0" y="0"/>
                      <a:ext cx="1191600" cy="478800"/>
                    </a:xfrm>
                    <a:prstGeom prst="rect">
                      <a:avLst/>
                    </a:prstGeom>
                  </pic:spPr>
                </pic:pic>
              </a:graphicData>
            </a:graphic>
          </wp:inline>
        </w:drawing>
      </w:r>
      <w:r>
        <w:rPr>
          <w:rFonts w:eastAsia="Calibri Light" w:cs="Calibri Light"/>
        </w:rPr>
        <w:t xml:space="preserve">                                      </w:t>
      </w:r>
      <w:r>
        <w:rPr>
          <w:noProof/>
        </w:rPr>
        <w:drawing>
          <wp:inline distT="0" distB="0" distL="0" distR="0" wp14:anchorId="4357C140" wp14:editId="6BC0D7BF">
            <wp:extent cx="802800" cy="766800"/>
            <wp:effectExtent l="0" t="0" r="0" b="0"/>
            <wp:docPr id="1665024035" name="Image 1665024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pic:cNvPicPr>
                      <a:picLocks noChangeAspect="1" noChangeArrowheads="1"/>
                    </pic:cNvPicPr>
                  </pic:nvPicPr>
                  <pic:blipFill>
                    <a:blip r:embed="rId8"/>
                    <a:srcRect l="-118" t="-124" r="-118" b="-124"/>
                    <a:stretch>
                      <a:fillRect/>
                    </a:stretch>
                  </pic:blipFill>
                  <pic:spPr bwMode="auto">
                    <a:xfrm>
                      <a:off x="0" y="0"/>
                      <a:ext cx="802800" cy="766800"/>
                    </a:xfrm>
                    <a:prstGeom prst="rect">
                      <a:avLst/>
                    </a:prstGeom>
                  </pic:spPr>
                </pic:pic>
              </a:graphicData>
            </a:graphic>
          </wp:inline>
        </w:drawing>
      </w:r>
    </w:p>
    <w:p w14:paraId="75078D75" w14:textId="77777777" w:rsidR="00CE44DE" w:rsidRDefault="00CE44DE">
      <w:pPr>
        <w:suppressAutoHyphens w:val="0"/>
        <w:spacing w:line="100" w:lineRule="atLeast"/>
        <w:rPr>
          <w:rFonts w:eastAsia="Times New Roman" w:cs="Times New Roman"/>
          <w:sz w:val="20"/>
          <w:szCs w:val="20"/>
        </w:rPr>
      </w:pPr>
    </w:p>
    <w:p w14:paraId="572F9EB9" w14:textId="77777777" w:rsidR="000B32B4" w:rsidRPr="00CE44DE" w:rsidRDefault="00000000">
      <w:pPr>
        <w:pBdr>
          <w:top w:val="single" w:sz="8" w:space="1" w:color="000000"/>
          <w:left w:val="single" w:sz="8" w:space="4" w:color="000000"/>
          <w:bottom w:val="single" w:sz="8" w:space="1" w:color="000000"/>
          <w:right w:val="single" w:sz="8" w:space="4" w:color="000000"/>
        </w:pBdr>
        <w:shd w:val="clear" w:color="auto" w:fill="FF9999"/>
        <w:suppressAutoHyphens w:val="0"/>
        <w:spacing w:after="60" w:line="100" w:lineRule="atLeast"/>
        <w:jc w:val="center"/>
        <w:rPr>
          <w:rFonts w:ascii="Cambria" w:hAnsi="Cambria"/>
          <w:sz w:val="32"/>
          <w:szCs w:val="32"/>
        </w:rPr>
      </w:pPr>
      <w:r w:rsidRPr="00CE44DE">
        <w:rPr>
          <w:rFonts w:ascii="Cambria" w:eastAsia="Times New Roman" w:hAnsi="Cambria" w:cs="Times New Roman"/>
          <w:b/>
          <w:sz w:val="32"/>
          <w:szCs w:val="32"/>
        </w:rPr>
        <w:t xml:space="preserve">Acteurs, pratiques et représentations de la sécurité </w:t>
      </w:r>
    </w:p>
    <w:p w14:paraId="58E8F2C0" w14:textId="77777777" w:rsidR="000B32B4" w:rsidRPr="00CE44DE" w:rsidRDefault="00000000">
      <w:pPr>
        <w:pBdr>
          <w:top w:val="single" w:sz="8" w:space="1" w:color="000000"/>
          <w:left w:val="single" w:sz="8" w:space="4" w:color="000000"/>
          <w:bottom w:val="single" w:sz="8" w:space="1" w:color="000000"/>
          <w:right w:val="single" w:sz="8" w:space="4" w:color="000000"/>
        </w:pBdr>
        <w:shd w:val="clear" w:color="auto" w:fill="FF9999"/>
        <w:suppressAutoHyphens w:val="0"/>
        <w:spacing w:after="100" w:line="100" w:lineRule="atLeast"/>
        <w:jc w:val="center"/>
        <w:rPr>
          <w:rFonts w:ascii="Cambria" w:hAnsi="Cambria"/>
          <w:sz w:val="32"/>
          <w:szCs w:val="32"/>
        </w:rPr>
      </w:pPr>
      <w:r w:rsidRPr="00CE44DE">
        <w:rPr>
          <w:rFonts w:ascii="Cambria" w:eastAsia="Times New Roman" w:hAnsi="Cambria" w:cs="Times New Roman"/>
          <w:b/>
          <w:sz w:val="32"/>
          <w:szCs w:val="32"/>
        </w:rPr>
        <w:t>XIXe-XXIe siècles</w:t>
      </w:r>
    </w:p>
    <w:p w14:paraId="7BB59DE4" w14:textId="77777777" w:rsidR="000B32B4" w:rsidRDefault="00000000">
      <w:pPr>
        <w:suppressAutoHyphens w:val="0"/>
        <w:spacing w:before="100" w:line="100" w:lineRule="atLeast"/>
        <w:jc w:val="center"/>
      </w:pPr>
      <w:r>
        <w:rPr>
          <w:rFonts w:eastAsia="Times New Roman" w:cs="Times New Roman"/>
          <w:b/>
          <w:sz w:val="28"/>
          <w:szCs w:val="28"/>
        </w:rPr>
        <w:t xml:space="preserve">Pr Arnaud-Dominique </w:t>
      </w:r>
      <w:proofErr w:type="gramStart"/>
      <w:r>
        <w:rPr>
          <w:rFonts w:eastAsia="Times New Roman" w:cs="Times New Roman"/>
          <w:b/>
          <w:sz w:val="28"/>
          <w:szCs w:val="28"/>
        </w:rPr>
        <w:t>HOUTE  -</w:t>
      </w:r>
      <w:proofErr w:type="gramEnd"/>
      <w:r>
        <w:rPr>
          <w:rFonts w:eastAsia="Times New Roman" w:cs="Times New Roman"/>
          <w:b/>
          <w:sz w:val="28"/>
          <w:szCs w:val="28"/>
        </w:rPr>
        <w:t xml:space="preserve">  Pr émérite Jean-Noël LUC</w:t>
      </w:r>
    </w:p>
    <w:p w14:paraId="0177347C" w14:textId="77777777" w:rsidR="000B32B4" w:rsidRPr="00CE44DE" w:rsidRDefault="00000000">
      <w:pPr>
        <w:suppressAutoHyphens w:val="0"/>
        <w:spacing w:before="80" w:line="100" w:lineRule="atLeast"/>
        <w:jc w:val="center"/>
        <w:rPr>
          <w:sz w:val="32"/>
          <w:szCs w:val="32"/>
        </w:rPr>
      </w:pPr>
      <w:r w:rsidRPr="00CE44DE">
        <w:rPr>
          <w:rFonts w:eastAsia="Times New Roman" w:cs="Times New Roman"/>
          <w:b/>
          <w:sz w:val="32"/>
          <w:szCs w:val="32"/>
        </w:rPr>
        <w:t>Séminaire Master-Doctorat</w:t>
      </w:r>
    </w:p>
    <w:p w14:paraId="0D77AA60" w14:textId="1342782F" w:rsidR="000B32B4" w:rsidRPr="009A245C" w:rsidRDefault="00000000">
      <w:pPr>
        <w:suppressAutoHyphens w:val="0"/>
        <w:spacing w:before="40" w:line="100" w:lineRule="atLeast"/>
        <w:jc w:val="center"/>
        <w:rPr>
          <w:sz w:val="28"/>
          <w:szCs w:val="28"/>
        </w:rPr>
      </w:pPr>
      <w:r w:rsidRPr="009A245C">
        <w:rPr>
          <w:rFonts w:eastAsia="Times New Roman" w:cs="Times New Roman"/>
          <w:b/>
          <w:sz w:val="28"/>
          <w:szCs w:val="28"/>
        </w:rPr>
        <w:t>Maison de la recherche (28 rue Serpente</w:t>
      </w:r>
      <w:r w:rsidR="00E75C3B">
        <w:rPr>
          <w:rFonts w:eastAsia="Times New Roman" w:cs="Times New Roman"/>
          <w:b/>
          <w:sz w:val="28"/>
          <w:szCs w:val="28"/>
        </w:rPr>
        <w:t>, Paris, VIe</w:t>
      </w:r>
      <w:r w:rsidRPr="009A245C">
        <w:rPr>
          <w:rFonts w:eastAsia="Times New Roman" w:cs="Times New Roman"/>
          <w:b/>
          <w:sz w:val="28"/>
          <w:szCs w:val="28"/>
        </w:rPr>
        <w:t xml:space="preserve">), mardi </w:t>
      </w:r>
      <w:r w:rsidRPr="009A245C">
        <w:rPr>
          <w:rFonts w:eastAsia="Times New Roman" w:cs="Times New Roman"/>
          <w:b/>
          <w:sz w:val="28"/>
          <w:szCs w:val="28"/>
          <w:shd w:val="clear" w:color="auto" w:fill="FFFF00"/>
        </w:rPr>
        <w:t>16h-18h</w:t>
      </w:r>
      <w:r w:rsidRPr="009A245C">
        <w:rPr>
          <w:rFonts w:eastAsia="Times New Roman" w:cs="Times New Roman"/>
          <w:b/>
          <w:sz w:val="28"/>
          <w:szCs w:val="28"/>
        </w:rPr>
        <w:t>, salle D 116</w:t>
      </w:r>
    </w:p>
    <w:p w14:paraId="42CFD654" w14:textId="77777777" w:rsidR="000B32B4" w:rsidRDefault="00000000">
      <w:pPr>
        <w:suppressAutoHyphens w:val="0"/>
        <w:spacing w:before="40" w:line="100" w:lineRule="atLeast"/>
        <w:jc w:val="center"/>
        <w:rPr>
          <w:sz w:val="22"/>
          <w:szCs w:val="22"/>
        </w:rPr>
      </w:pPr>
      <w:r>
        <w:rPr>
          <w:rFonts w:eastAsia="Times New Roman" w:cs="Times New Roman"/>
          <w:b/>
          <w:sz w:val="22"/>
          <w:szCs w:val="22"/>
        </w:rPr>
        <w:t xml:space="preserve">Informations : </w:t>
      </w:r>
      <w:hyperlink r:id="rId9">
        <w:r>
          <w:rPr>
            <w:rStyle w:val="Lienhypertexte"/>
            <w:sz w:val="22"/>
            <w:szCs w:val="22"/>
          </w:rPr>
          <w:t>arnaud.houte@sorbonne-universite.fr</w:t>
        </w:r>
      </w:hyperlink>
    </w:p>
    <w:p w14:paraId="3A5E29DC" w14:textId="77777777" w:rsidR="000B32B4" w:rsidRPr="00587ECD" w:rsidRDefault="000B32B4">
      <w:pPr>
        <w:spacing w:after="40"/>
        <w:ind w:left="57" w:right="113"/>
        <w:jc w:val="center"/>
        <w:rPr>
          <w:rFonts w:cs="Times New Roman"/>
          <w:i/>
          <w:iCs/>
          <w:sz w:val="18"/>
          <w:szCs w:val="18"/>
        </w:rPr>
      </w:pPr>
    </w:p>
    <w:p w14:paraId="4978B27D" w14:textId="77777777" w:rsidR="000B32B4" w:rsidRDefault="00000000">
      <w:pPr>
        <w:spacing w:line="320" w:lineRule="exact"/>
        <w:ind w:firstLine="567"/>
        <w:jc w:val="both"/>
      </w:pPr>
      <w:r>
        <w:rPr>
          <w:rFonts w:cs="Times New Roman"/>
          <w:sz w:val="28"/>
          <w:szCs w:val="28"/>
        </w:rPr>
        <w:t>Ouvert aux étudiants de master et de doctorat, ainsi qu'aux chercheurs (historiens, sociologues, politistes, juristes, etc.), aux professionnels et aux citoyens, ce séminaire de recherche prend pour objet principal, mais non exclusif, la sécurité, dans une approche élargie, étroitement reliée aux enjeux sociaux, politiques et culturels de l'histoire générale.</w:t>
      </w:r>
    </w:p>
    <w:p w14:paraId="36644FE2" w14:textId="03FD7248" w:rsidR="000B32B4" w:rsidRDefault="00000000">
      <w:pPr>
        <w:spacing w:before="80" w:line="320" w:lineRule="exact"/>
        <w:ind w:firstLine="567"/>
        <w:jc w:val="both"/>
      </w:pPr>
      <w:r>
        <w:rPr>
          <w:rFonts w:cs="Times New Roman"/>
          <w:sz w:val="28"/>
          <w:szCs w:val="28"/>
        </w:rPr>
        <w:t>Prolongeant des travaux individuels et collectifs développés depuis plus de vingt ans, il s'inscrit dans le cadre de Sorbonne-Université</w:t>
      </w:r>
      <w:r w:rsidR="00FE2E1A">
        <w:rPr>
          <w:rFonts w:cs="Times New Roman"/>
          <w:sz w:val="28"/>
          <w:szCs w:val="28"/>
        </w:rPr>
        <w:t xml:space="preserve"> (École doctorale 2 et CH XIXe)</w:t>
      </w:r>
      <w:r>
        <w:rPr>
          <w:rFonts w:cs="Times New Roman"/>
          <w:sz w:val="28"/>
          <w:szCs w:val="28"/>
        </w:rPr>
        <w:t xml:space="preserve"> et en collaboration avec la chaire </w:t>
      </w:r>
      <w:proofErr w:type="spellStart"/>
      <w:r>
        <w:rPr>
          <w:rFonts w:cs="Times New Roman"/>
          <w:sz w:val="28"/>
          <w:szCs w:val="28"/>
        </w:rPr>
        <w:t>HiGeSet</w:t>
      </w:r>
      <w:proofErr w:type="spellEnd"/>
      <w:r>
        <w:rPr>
          <w:rFonts w:cs="Times New Roman"/>
          <w:sz w:val="28"/>
          <w:szCs w:val="28"/>
        </w:rPr>
        <w:t xml:space="preserve"> Histoire, Gendarmerie, Sécurité &amp; Territoire(s) du Centre de recherche de l’École des officiers de la Gendarmerie nationale (CREOGN).</w:t>
      </w:r>
    </w:p>
    <w:p w14:paraId="41596F36" w14:textId="77777777" w:rsidR="000B32B4" w:rsidRDefault="00000000">
      <w:pPr>
        <w:spacing w:before="80" w:line="320" w:lineRule="exact"/>
        <w:ind w:firstLine="567"/>
        <w:jc w:val="both"/>
      </w:pPr>
      <w:r>
        <w:rPr>
          <w:rFonts w:cs="Times New Roman"/>
          <w:sz w:val="28"/>
          <w:szCs w:val="28"/>
        </w:rPr>
        <w:t>Fondé sur une méthodologie historienne, mais ouvert aux approches des sciences sociales dans toute leur diversité, ce séminaire entend être un lieu de préparation, de présentation et de discussion de recherches consacrées à l'étude de la gendarmerie ainsi qu'à l'ensemble des institutions et des acteurs/actrices publics ou privés qui participent d'une manière ou d'une autre aux questions de sécurité. Pour comprendre ce problème dans son environnement global, il s'intéresse également à l'exploration des peurs et des passions sociales, abordées dans leur épaisseur historique, en tenant compte de leurs diversités sociales et territoriales.</w:t>
      </w:r>
    </w:p>
    <w:p w14:paraId="1F0C49DA" w14:textId="77777777" w:rsidR="000B32B4" w:rsidRDefault="00000000">
      <w:pPr>
        <w:spacing w:before="80" w:line="320" w:lineRule="exact"/>
        <w:ind w:firstLine="567"/>
        <w:jc w:val="both"/>
        <w:rPr>
          <w:rFonts w:cs="Times New Roman"/>
          <w:sz w:val="28"/>
          <w:szCs w:val="28"/>
        </w:rPr>
      </w:pPr>
      <w:r>
        <w:rPr>
          <w:rFonts w:cs="Times New Roman"/>
          <w:sz w:val="28"/>
          <w:szCs w:val="28"/>
        </w:rPr>
        <w:t>Le séminaire associe des séances méthodologiques (plus spécifiquement destinées aux étudiants de master) et des conférences (ouvertes au public), dans la volonté de multiplier les approches disciplinaires, les méthodes et les terrains d'enquête.</w:t>
      </w:r>
    </w:p>
    <w:p w14:paraId="357A04DE" w14:textId="77777777" w:rsidR="000B32B4" w:rsidRDefault="000B32B4" w:rsidP="00587ECD">
      <w:pPr>
        <w:spacing w:line="320" w:lineRule="exact"/>
        <w:ind w:firstLine="567"/>
        <w:jc w:val="both"/>
      </w:pPr>
    </w:p>
    <w:p w14:paraId="251975DE" w14:textId="77777777" w:rsidR="000B32B4" w:rsidRDefault="00000000" w:rsidP="00CE44DE">
      <w:pPr>
        <w:jc w:val="both"/>
      </w:pPr>
      <w:r>
        <w:rPr>
          <w:rFonts w:cs="Times New Roman"/>
          <w:b/>
          <w:bCs/>
          <w:color w:val="000000"/>
          <w:sz w:val="28"/>
          <w:szCs w:val="28"/>
        </w:rPr>
        <w:t>19 septembre – La découverte du master, la construction du sujet</w:t>
      </w:r>
    </w:p>
    <w:p w14:paraId="5CCB887C" w14:textId="77777777" w:rsidR="000B32B4" w:rsidRDefault="00000000">
      <w:pPr>
        <w:spacing w:before="60"/>
        <w:jc w:val="both"/>
      </w:pPr>
      <w:r>
        <w:rPr>
          <w:rFonts w:cs="Times New Roman"/>
          <w:color w:val="000000"/>
        </w:rPr>
        <w:t>Prise de contact avec les étudiants du séminaire, présentation de l’année et des thématiques de recherche/</w:t>
      </w:r>
    </w:p>
    <w:p w14:paraId="073FD7CA" w14:textId="77777777" w:rsidR="000B32B4" w:rsidRDefault="000B32B4" w:rsidP="00CE44DE">
      <w:pPr>
        <w:jc w:val="both"/>
        <w:rPr>
          <w:rFonts w:cs="Times New Roman"/>
          <w:color w:val="000000"/>
          <w:sz w:val="22"/>
          <w:szCs w:val="22"/>
        </w:rPr>
      </w:pPr>
    </w:p>
    <w:p w14:paraId="37461296" w14:textId="77777777" w:rsidR="000B32B4" w:rsidRDefault="00000000" w:rsidP="00CE44DE">
      <w:pPr>
        <w:jc w:val="both"/>
      </w:pPr>
      <w:r>
        <w:rPr>
          <w:rFonts w:cs="Times New Roman"/>
          <w:b/>
          <w:bCs/>
          <w:color w:val="000000"/>
          <w:spacing w:val="-6"/>
          <w:sz w:val="28"/>
          <w:szCs w:val="28"/>
        </w:rPr>
        <w:t xml:space="preserve">26 septembre – </w:t>
      </w:r>
      <w:r w:rsidRPr="009A245C">
        <w:rPr>
          <w:rFonts w:ascii="Cambria" w:hAnsi="Cambria" w:cs="Times New Roman"/>
          <w:b/>
          <w:bCs/>
          <w:color w:val="000000"/>
          <w:spacing w:val="-6"/>
          <w:sz w:val="28"/>
          <w:szCs w:val="28"/>
        </w:rPr>
        <w:t>Méthodologie de la recherche (1).</w:t>
      </w:r>
      <w:r>
        <w:rPr>
          <w:rFonts w:cs="Times New Roman"/>
          <w:color w:val="000000"/>
          <w:spacing w:val="-6"/>
          <w:sz w:val="28"/>
          <w:szCs w:val="28"/>
        </w:rPr>
        <w:t xml:space="preserve"> </w:t>
      </w:r>
      <w:r w:rsidRPr="009A245C">
        <w:rPr>
          <w:rFonts w:ascii="Cambria" w:hAnsi="Cambria" w:cs="Times New Roman"/>
          <w:b/>
          <w:bCs/>
          <w:color w:val="000000"/>
          <w:spacing w:val="-6"/>
          <w:sz w:val="28"/>
          <w:szCs w:val="28"/>
        </w:rPr>
        <w:t>Premier regard sur la bibliographie</w:t>
      </w:r>
    </w:p>
    <w:p w14:paraId="1643D2CC" w14:textId="77777777" w:rsidR="000B32B4" w:rsidRDefault="000B32B4" w:rsidP="00CE44DE">
      <w:pPr>
        <w:jc w:val="both"/>
        <w:rPr>
          <w:color w:val="000000"/>
        </w:rPr>
      </w:pPr>
    </w:p>
    <w:p w14:paraId="42FA8878" w14:textId="77777777" w:rsidR="000B32B4" w:rsidRDefault="00000000" w:rsidP="00CE44DE">
      <w:pPr>
        <w:jc w:val="both"/>
      </w:pPr>
      <w:r>
        <w:rPr>
          <w:rFonts w:cs="Times New Roman"/>
          <w:b/>
          <w:bCs/>
          <w:color w:val="000000"/>
          <w:sz w:val="28"/>
          <w:szCs w:val="28"/>
        </w:rPr>
        <w:t xml:space="preserve">3 octobre – </w:t>
      </w:r>
      <w:r w:rsidRPr="009A245C">
        <w:rPr>
          <w:rFonts w:ascii="Cambria" w:hAnsi="Cambria" w:cs="Times New Roman"/>
          <w:b/>
          <w:bCs/>
          <w:color w:val="000000"/>
          <w:sz w:val="28"/>
          <w:szCs w:val="28"/>
        </w:rPr>
        <w:t>Méthodologie de la recherche (2).</w:t>
      </w:r>
      <w:r>
        <w:rPr>
          <w:rFonts w:cs="Times New Roman"/>
          <w:b/>
          <w:bCs/>
          <w:color w:val="000000"/>
          <w:sz w:val="28"/>
          <w:szCs w:val="28"/>
        </w:rPr>
        <w:t xml:space="preserve"> </w:t>
      </w:r>
      <w:r w:rsidRPr="009A245C">
        <w:rPr>
          <w:rFonts w:ascii="Cambria" w:hAnsi="Cambria" w:cs="Times New Roman"/>
          <w:b/>
          <w:bCs/>
          <w:color w:val="000000"/>
          <w:sz w:val="28"/>
          <w:szCs w:val="28"/>
        </w:rPr>
        <w:t>À la recherche des sources</w:t>
      </w:r>
    </w:p>
    <w:p w14:paraId="20522B74" w14:textId="77777777" w:rsidR="000B32B4" w:rsidRPr="009A245C" w:rsidRDefault="00000000" w:rsidP="00587ECD">
      <w:pPr>
        <w:jc w:val="both"/>
      </w:pPr>
      <w:r w:rsidRPr="009A245C">
        <w:rPr>
          <w:rFonts w:cs="Times New Roman"/>
          <w:color w:val="000000"/>
        </w:rPr>
        <w:t xml:space="preserve">Lecture : Arlette Farge, </w:t>
      </w:r>
      <w:r w:rsidRPr="009A245C">
        <w:rPr>
          <w:rFonts w:cs="Times New Roman"/>
          <w:i/>
          <w:iCs/>
          <w:color w:val="000000"/>
        </w:rPr>
        <w:t>Le goût de l'archive</w:t>
      </w:r>
      <w:r w:rsidRPr="009A245C">
        <w:rPr>
          <w:rFonts w:cs="Times New Roman"/>
          <w:color w:val="000000"/>
        </w:rPr>
        <w:t>, Paris, Points-Seuil, 1989.</w:t>
      </w:r>
    </w:p>
    <w:p w14:paraId="0B59BC0A" w14:textId="77777777" w:rsidR="000B32B4" w:rsidRDefault="000B32B4" w:rsidP="00CE44DE">
      <w:pPr>
        <w:jc w:val="both"/>
        <w:rPr>
          <w:rFonts w:cs="Times New Roman"/>
          <w:color w:val="000000"/>
          <w:sz w:val="28"/>
          <w:szCs w:val="28"/>
        </w:rPr>
      </w:pPr>
    </w:p>
    <w:p w14:paraId="0C8F7645" w14:textId="77777777" w:rsidR="000B32B4" w:rsidRDefault="00000000" w:rsidP="00CE44DE">
      <w:pPr>
        <w:jc w:val="both"/>
      </w:pPr>
      <w:r>
        <w:rPr>
          <w:rFonts w:cs="Times New Roman"/>
          <w:b/>
          <w:bCs/>
          <w:color w:val="000000"/>
          <w:sz w:val="28"/>
          <w:szCs w:val="28"/>
        </w:rPr>
        <w:t xml:space="preserve">10 octobre – </w:t>
      </w:r>
      <w:r>
        <w:rPr>
          <w:rFonts w:cs="Arial"/>
          <w:b/>
          <w:bCs/>
          <w:color w:val="000000"/>
          <w:sz w:val="28"/>
          <w:szCs w:val="28"/>
          <w:shd w:val="clear" w:color="auto" w:fill="FFFFFF"/>
        </w:rPr>
        <w:t>Quand la police fait l'</w:t>
      </w:r>
      <w:proofErr w:type="spellStart"/>
      <w:r>
        <w:rPr>
          <w:rFonts w:cs="Arial"/>
          <w:b/>
          <w:bCs/>
          <w:color w:val="000000"/>
          <w:sz w:val="28"/>
          <w:szCs w:val="28"/>
          <w:shd w:val="clear" w:color="auto" w:fill="FFFFFF"/>
        </w:rPr>
        <w:t>actualite</w:t>
      </w:r>
      <w:proofErr w:type="spellEnd"/>
      <w:r>
        <w:rPr>
          <w:rFonts w:cs="Arial"/>
          <w:b/>
          <w:bCs/>
          <w:color w:val="000000"/>
          <w:sz w:val="28"/>
          <w:szCs w:val="28"/>
          <w:shd w:val="clear" w:color="auto" w:fill="FFFFFF"/>
        </w:rPr>
        <w:t xml:space="preserve">́ </w:t>
      </w:r>
    </w:p>
    <w:p w14:paraId="5DA7D62D" w14:textId="77777777" w:rsidR="009A245C" w:rsidRDefault="00000000" w:rsidP="009A245C">
      <w:pPr>
        <w:spacing w:before="57"/>
        <w:jc w:val="both"/>
        <w:rPr>
          <w:rFonts w:ascii="Cambria" w:hAnsi="Cambria" w:cs="TimesNewRomanPS"/>
          <w:b/>
          <w:bCs/>
          <w:i/>
          <w:iCs/>
          <w:color w:val="663300"/>
          <w:sz w:val="28"/>
          <w:szCs w:val="28"/>
          <w:shd w:val="clear" w:color="auto" w:fill="FFFFFF"/>
        </w:rPr>
      </w:pPr>
      <w:r>
        <w:rPr>
          <w:rFonts w:ascii="Cambria" w:hAnsi="Cambria" w:cs="TimesNewRomanPS"/>
          <w:b/>
          <w:bCs/>
          <w:i/>
          <w:iCs/>
          <w:color w:val="663300"/>
          <w:sz w:val="28"/>
          <w:szCs w:val="28"/>
          <w:shd w:val="clear" w:color="auto" w:fill="FFFFFF"/>
        </w:rPr>
        <w:t xml:space="preserve">De la </w:t>
      </w:r>
      <w:proofErr w:type="spellStart"/>
      <w:r>
        <w:rPr>
          <w:rFonts w:ascii="Cambria" w:hAnsi="Cambria" w:cs="TimesNewRomanPS"/>
          <w:b/>
          <w:bCs/>
          <w:i/>
          <w:iCs/>
          <w:color w:val="663300"/>
          <w:sz w:val="28"/>
          <w:szCs w:val="28"/>
          <w:shd w:val="clear" w:color="auto" w:fill="FFFFFF"/>
        </w:rPr>
        <w:t>réception</w:t>
      </w:r>
      <w:proofErr w:type="spellEnd"/>
      <w:r>
        <w:rPr>
          <w:rFonts w:ascii="Cambria" w:hAnsi="Cambria" w:cs="TimesNewRomanPS"/>
          <w:b/>
          <w:bCs/>
          <w:i/>
          <w:iCs/>
          <w:color w:val="663300"/>
          <w:sz w:val="28"/>
          <w:szCs w:val="28"/>
          <w:shd w:val="clear" w:color="auto" w:fill="FFFFFF"/>
        </w:rPr>
        <w:t xml:space="preserve"> à la co-construction des informations </w:t>
      </w:r>
      <w:proofErr w:type="spellStart"/>
      <w:r>
        <w:rPr>
          <w:rFonts w:ascii="Cambria" w:hAnsi="Cambria" w:cs="TimesNewRomanPS"/>
          <w:b/>
          <w:bCs/>
          <w:i/>
          <w:iCs/>
          <w:color w:val="663300"/>
          <w:sz w:val="28"/>
          <w:szCs w:val="28"/>
          <w:shd w:val="clear" w:color="auto" w:fill="FFFFFF"/>
        </w:rPr>
        <w:t>policières</w:t>
      </w:r>
      <w:proofErr w:type="spellEnd"/>
      <w:r>
        <w:rPr>
          <w:rFonts w:ascii="Cambria" w:hAnsi="Cambria" w:cs="TimesNewRomanPS"/>
          <w:b/>
          <w:bCs/>
          <w:i/>
          <w:iCs/>
          <w:color w:val="663300"/>
          <w:sz w:val="28"/>
          <w:szCs w:val="28"/>
          <w:shd w:val="clear" w:color="auto" w:fill="FFFFFF"/>
        </w:rPr>
        <w:t xml:space="preserve"> par la force publique</w:t>
      </w:r>
    </w:p>
    <w:p w14:paraId="30C636C3" w14:textId="6393F6B8" w:rsidR="000B32B4" w:rsidRDefault="00000000" w:rsidP="00587ECD">
      <w:pPr>
        <w:jc w:val="both"/>
      </w:pPr>
      <w:r>
        <w:rPr>
          <w:rFonts w:cs="Cambria"/>
          <w:color w:val="000000"/>
          <w:shd w:val="clear" w:color="auto" w:fill="FFFFFF"/>
        </w:rPr>
        <w:t xml:space="preserve">Guillaume Le Saulnier, </w:t>
      </w:r>
      <w:proofErr w:type="spellStart"/>
      <w:r>
        <w:rPr>
          <w:rFonts w:cs="Cambria"/>
          <w:color w:val="000000"/>
          <w:shd w:val="clear" w:color="auto" w:fill="FFFFFF"/>
        </w:rPr>
        <w:t>universite</w:t>
      </w:r>
      <w:proofErr w:type="spellEnd"/>
      <w:r>
        <w:rPr>
          <w:rFonts w:cs="Cambria"/>
          <w:color w:val="000000"/>
          <w:shd w:val="clear" w:color="auto" w:fill="FFFFFF"/>
        </w:rPr>
        <w:t xml:space="preserve">́ de Reims, </w:t>
      </w:r>
      <w:proofErr w:type="spellStart"/>
      <w:r>
        <w:rPr>
          <w:rFonts w:cs="Cambria"/>
          <w:color w:val="000000"/>
          <w:shd w:val="clear" w:color="auto" w:fill="FFFFFF"/>
        </w:rPr>
        <w:t>Cérep</w:t>
      </w:r>
      <w:proofErr w:type="spellEnd"/>
      <w:r>
        <w:rPr>
          <w:rFonts w:cs="Cambria"/>
          <w:color w:val="000000"/>
          <w:shd w:val="clear" w:color="auto" w:fill="FFFFFF"/>
        </w:rPr>
        <w:t>.</w:t>
      </w:r>
    </w:p>
    <w:p w14:paraId="3F2F9F4C" w14:textId="77777777" w:rsidR="000B32B4" w:rsidRDefault="000B32B4" w:rsidP="00CE44DE">
      <w:pPr>
        <w:jc w:val="both"/>
        <w:rPr>
          <w:rFonts w:cs="Times New Roman"/>
          <w:color w:val="000000"/>
          <w:sz w:val="28"/>
          <w:szCs w:val="28"/>
        </w:rPr>
      </w:pPr>
    </w:p>
    <w:p w14:paraId="20FEF2E3" w14:textId="77777777" w:rsidR="000B32B4" w:rsidRDefault="00000000" w:rsidP="00CE44DE">
      <w:pPr>
        <w:jc w:val="both"/>
      </w:pPr>
      <w:r>
        <w:rPr>
          <w:rFonts w:cs="Times New Roman"/>
          <w:b/>
          <w:bCs/>
          <w:color w:val="000000"/>
          <w:sz w:val="28"/>
          <w:szCs w:val="28"/>
        </w:rPr>
        <w:t>17 octobre – Les citoyens, acteurs de la police (1)</w:t>
      </w:r>
    </w:p>
    <w:p w14:paraId="6FB8C4DB" w14:textId="77777777" w:rsidR="000B32B4" w:rsidRDefault="00000000">
      <w:pPr>
        <w:spacing w:before="57"/>
        <w:jc w:val="both"/>
        <w:rPr>
          <w:rFonts w:ascii="Cambria" w:hAnsi="Cambria"/>
          <w:color w:val="663300"/>
          <w:sz w:val="28"/>
          <w:szCs w:val="28"/>
        </w:rPr>
      </w:pPr>
      <w:r>
        <w:rPr>
          <w:rFonts w:ascii="Cambria" w:hAnsi="Cambria" w:cs="Times New Roman"/>
          <w:b/>
          <w:bCs/>
          <w:i/>
          <w:iCs/>
          <w:color w:val="663300"/>
          <w:sz w:val="28"/>
          <w:szCs w:val="28"/>
        </w:rPr>
        <w:lastRenderedPageBreak/>
        <w:t>Citoyens-policiers au temps des révolutions (1789-1871)</w:t>
      </w:r>
    </w:p>
    <w:p w14:paraId="1E64EFF6" w14:textId="77777777" w:rsidR="000B32B4" w:rsidRDefault="00000000" w:rsidP="00587ECD">
      <w:pPr>
        <w:jc w:val="both"/>
      </w:pPr>
      <w:r>
        <w:rPr>
          <w:color w:val="000000"/>
        </w:rPr>
        <w:t xml:space="preserve">Arnaud-Dominique </w:t>
      </w:r>
      <w:proofErr w:type="spellStart"/>
      <w:r>
        <w:rPr>
          <w:color w:val="000000"/>
        </w:rPr>
        <w:t>Houte</w:t>
      </w:r>
      <w:proofErr w:type="spellEnd"/>
      <w:r>
        <w:rPr>
          <w:color w:val="000000"/>
        </w:rPr>
        <w:t>, Centre d’Histoire du XIXe siècle.</w:t>
      </w:r>
    </w:p>
    <w:p w14:paraId="21566126" w14:textId="77777777" w:rsidR="000B32B4" w:rsidRDefault="000B32B4" w:rsidP="00CE44DE">
      <w:pPr>
        <w:jc w:val="both"/>
        <w:rPr>
          <w:color w:val="000000"/>
        </w:rPr>
      </w:pPr>
    </w:p>
    <w:p w14:paraId="09D9ABCD" w14:textId="77777777" w:rsidR="000B32B4" w:rsidRDefault="00000000" w:rsidP="00CE44DE">
      <w:pPr>
        <w:jc w:val="both"/>
      </w:pPr>
      <w:r>
        <w:rPr>
          <w:rFonts w:cs="Times New Roman"/>
          <w:b/>
          <w:bCs/>
          <w:color w:val="000000"/>
          <w:sz w:val="28"/>
          <w:szCs w:val="28"/>
        </w:rPr>
        <w:t>24 octobre – Le maintien de l’ordre sous la Monarchie de Juillet : regards croisés</w:t>
      </w:r>
    </w:p>
    <w:p w14:paraId="7EA08566" w14:textId="77777777" w:rsidR="000B32B4" w:rsidRDefault="00000000">
      <w:pPr>
        <w:spacing w:before="57"/>
        <w:jc w:val="both"/>
      </w:pPr>
      <w:r>
        <w:rPr>
          <w:rFonts w:ascii="Cambria" w:hAnsi="Cambria" w:cs="Times New Roman"/>
          <w:b/>
          <w:bCs/>
          <w:i/>
          <w:iCs/>
          <w:color w:val="663300"/>
          <w:sz w:val="28"/>
          <w:szCs w:val="28"/>
        </w:rPr>
        <w:t>Faire face aux tentatives révolutionnaires, 1831-1834</w:t>
      </w:r>
      <w:r>
        <w:rPr>
          <w:rFonts w:cs="Times New Roman"/>
          <w:color w:val="000000"/>
        </w:rPr>
        <w:t xml:space="preserve"> (Ivan Burel, Lille, IRHIS)</w:t>
      </w:r>
    </w:p>
    <w:p w14:paraId="6F2AA784" w14:textId="77777777" w:rsidR="000B32B4" w:rsidRDefault="00000000">
      <w:pPr>
        <w:spacing w:before="57"/>
        <w:jc w:val="both"/>
      </w:pPr>
      <w:r>
        <w:rPr>
          <w:rFonts w:ascii="Cambria" w:hAnsi="Cambria" w:cs="Times New Roman"/>
          <w:b/>
          <w:bCs/>
          <w:i/>
          <w:iCs/>
          <w:color w:val="663300"/>
          <w:sz w:val="28"/>
          <w:szCs w:val="28"/>
        </w:rPr>
        <w:t>L’émeute du Mans, 1839 : faire couler le sang ?</w:t>
      </w:r>
      <w:r>
        <w:rPr>
          <w:rFonts w:cs="Times New Roman"/>
          <w:color w:val="000000"/>
        </w:rPr>
        <w:t xml:space="preserve"> (Karl-Alexandre Zimmer, Le Mans, TEMOS)</w:t>
      </w:r>
    </w:p>
    <w:p w14:paraId="526970C2" w14:textId="77777777" w:rsidR="000B32B4" w:rsidRDefault="000B32B4" w:rsidP="00CE44DE">
      <w:pPr>
        <w:jc w:val="both"/>
        <w:rPr>
          <w:rFonts w:cs="Times New Roman"/>
          <w:color w:val="000000"/>
          <w:sz w:val="22"/>
          <w:szCs w:val="22"/>
        </w:rPr>
      </w:pPr>
    </w:p>
    <w:p w14:paraId="32179B6B" w14:textId="77777777" w:rsidR="000B32B4" w:rsidRDefault="00000000" w:rsidP="00CE44DE">
      <w:pPr>
        <w:jc w:val="both"/>
      </w:pPr>
      <w:r>
        <w:rPr>
          <w:rFonts w:cs="Times New Roman"/>
          <w:b/>
          <w:bCs/>
          <w:color w:val="000000"/>
          <w:sz w:val="28"/>
          <w:szCs w:val="28"/>
        </w:rPr>
        <w:t xml:space="preserve">7 novembre – </w:t>
      </w:r>
      <w:r w:rsidRPr="009A245C">
        <w:rPr>
          <w:rFonts w:ascii="Cambria" w:hAnsi="Cambria" w:cs="Times New Roman"/>
          <w:b/>
          <w:bCs/>
          <w:color w:val="000000"/>
          <w:sz w:val="28"/>
          <w:szCs w:val="28"/>
        </w:rPr>
        <w:t>Méthodologie de la recherche (3).</w:t>
      </w:r>
      <w:r>
        <w:rPr>
          <w:rFonts w:cs="Times New Roman"/>
          <w:b/>
          <w:bCs/>
          <w:color w:val="000000"/>
          <w:sz w:val="28"/>
          <w:szCs w:val="28"/>
        </w:rPr>
        <w:t xml:space="preserve"> </w:t>
      </w:r>
      <w:r w:rsidRPr="009A245C">
        <w:rPr>
          <w:rFonts w:ascii="Cambria" w:hAnsi="Cambria" w:cs="Times New Roman"/>
          <w:b/>
          <w:bCs/>
          <w:color w:val="000000"/>
          <w:sz w:val="28"/>
          <w:szCs w:val="28"/>
        </w:rPr>
        <w:t>L'usage des sources</w:t>
      </w:r>
    </w:p>
    <w:p w14:paraId="4EB222A6" w14:textId="77777777" w:rsidR="000B32B4" w:rsidRDefault="000B32B4" w:rsidP="00CE44DE">
      <w:pPr>
        <w:jc w:val="both"/>
        <w:rPr>
          <w:rFonts w:cs="Times New Roman"/>
          <w:color w:val="000000"/>
          <w:sz w:val="22"/>
          <w:szCs w:val="22"/>
        </w:rPr>
      </w:pPr>
    </w:p>
    <w:p w14:paraId="22E81EC9" w14:textId="77777777" w:rsidR="000B32B4" w:rsidRDefault="00000000" w:rsidP="00CE44DE">
      <w:pPr>
        <w:jc w:val="both"/>
      </w:pPr>
      <w:r>
        <w:rPr>
          <w:rFonts w:cs="Times New Roman"/>
          <w:b/>
          <w:bCs/>
          <w:color w:val="000000"/>
          <w:sz w:val="28"/>
          <w:szCs w:val="28"/>
        </w:rPr>
        <w:t xml:space="preserve">14 novembre – L’armée, un objet politique ? </w:t>
      </w:r>
    </w:p>
    <w:p w14:paraId="3DF1CEC0" w14:textId="77777777" w:rsidR="000B32B4" w:rsidRDefault="00000000">
      <w:pPr>
        <w:spacing w:before="57"/>
        <w:jc w:val="both"/>
        <w:rPr>
          <w:rFonts w:ascii="Cambria" w:hAnsi="Cambria"/>
          <w:color w:val="663300"/>
          <w:sz w:val="28"/>
          <w:szCs w:val="28"/>
        </w:rPr>
      </w:pPr>
      <w:r>
        <w:rPr>
          <w:rFonts w:ascii="Cambria" w:hAnsi="Cambria" w:cs="Times New Roman"/>
          <w:b/>
          <w:bCs/>
          <w:i/>
          <w:iCs/>
          <w:color w:val="663300"/>
          <w:sz w:val="28"/>
          <w:szCs w:val="28"/>
        </w:rPr>
        <w:t>Comprendre la transformation des armées sous la Ve République</w:t>
      </w:r>
    </w:p>
    <w:p w14:paraId="00956B67" w14:textId="77777777" w:rsidR="000B32B4" w:rsidRDefault="00000000" w:rsidP="00587ECD">
      <w:pPr>
        <w:jc w:val="both"/>
      </w:pPr>
      <w:r>
        <w:rPr>
          <w:rFonts w:cs="Times New Roman"/>
          <w:color w:val="000000"/>
        </w:rPr>
        <w:t>Maxime Launay, Sirice-Sorbonne-Université, IRSEM.</w:t>
      </w:r>
    </w:p>
    <w:p w14:paraId="7F46051D" w14:textId="77777777" w:rsidR="000B32B4" w:rsidRDefault="000B32B4" w:rsidP="00CE44DE">
      <w:pPr>
        <w:jc w:val="both"/>
        <w:rPr>
          <w:color w:val="000000"/>
        </w:rPr>
      </w:pPr>
    </w:p>
    <w:p w14:paraId="3C3F1A4E" w14:textId="77777777" w:rsidR="000B32B4" w:rsidRDefault="00000000" w:rsidP="00CE44DE">
      <w:pPr>
        <w:jc w:val="both"/>
      </w:pPr>
      <w:r>
        <w:rPr>
          <w:rFonts w:cs="Times New Roman"/>
          <w:b/>
          <w:bCs/>
          <w:color w:val="000000"/>
          <w:sz w:val="28"/>
          <w:szCs w:val="28"/>
        </w:rPr>
        <w:t xml:space="preserve">28 novembre – </w:t>
      </w:r>
      <w:r>
        <w:rPr>
          <w:rFonts w:cs="Arial"/>
          <w:b/>
          <w:bCs/>
          <w:color w:val="000000"/>
          <w:spacing w:val="-10"/>
          <w:sz w:val="28"/>
          <w:szCs w:val="28"/>
          <w:shd w:val="clear" w:color="auto" w:fill="FFFFFF"/>
        </w:rPr>
        <w:t xml:space="preserve">« Guerre de gendarmes » ? </w:t>
      </w:r>
    </w:p>
    <w:p w14:paraId="5BE0EF96" w14:textId="77777777" w:rsidR="000B32B4" w:rsidRDefault="00000000">
      <w:pPr>
        <w:pStyle w:val="Corpsdetexte"/>
        <w:spacing w:before="57" w:after="0"/>
        <w:rPr>
          <w:rFonts w:ascii="Cambria" w:hAnsi="Cambria"/>
          <w:color w:val="663300"/>
          <w:sz w:val="28"/>
          <w:szCs w:val="28"/>
        </w:rPr>
      </w:pPr>
      <w:r>
        <w:rPr>
          <w:rFonts w:ascii="Cambria" w:hAnsi="Cambria" w:cs="TimesNewRomanPS"/>
          <w:b/>
          <w:bCs/>
          <w:i/>
          <w:iCs/>
          <w:color w:val="663300"/>
          <w:sz w:val="28"/>
          <w:szCs w:val="28"/>
          <w:shd w:val="clear" w:color="auto" w:fill="FFFFFF"/>
        </w:rPr>
        <w:t xml:space="preserve">Les gendarmes face </w:t>
      </w:r>
      <w:proofErr w:type="spellStart"/>
      <w:r>
        <w:rPr>
          <w:rFonts w:ascii="Cambria" w:hAnsi="Cambria" w:cs="TimesNewRomanPS"/>
          <w:b/>
          <w:bCs/>
          <w:i/>
          <w:iCs/>
          <w:color w:val="663300"/>
          <w:sz w:val="28"/>
          <w:szCs w:val="28"/>
          <w:shd w:val="clear" w:color="auto" w:fill="FFFFFF"/>
        </w:rPr>
        <w:t>a</w:t>
      </w:r>
      <w:proofErr w:type="spellEnd"/>
      <w:r>
        <w:rPr>
          <w:rFonts w:ascii="Cambria" w:hAnsi="Cambria" w:cs="TimesNewRomanPS"/>
          <w:b/>
          <w:bCs/>
          <w:i/>
          <w:iCs/>
          <w:color w:val="663300"/>
          <w:sz w:val="28"/>
          <w:szCs w:val="28"/>
          <w:shd w:val="clear" w:color="auto" w:fill="FFFFFF"/>
        </w:rPr>
        <w:t xml:space="preserve">̀ la contre-insurrection, des Chouans aux Talibans </w:t>
      </w:r>
    </w:p>
    <w:p w14:paraId="5F5431BF" w14:textId="77777777" w:rsidR="000B32B4" w:rsidRDefault="00000000" w:rsidP="00587ECD">
      <w:pPr>
        <w:pStyle w:val="Corpsdetexte"/>
        <w:spacing w:after="0"/>
        <w:jc w:val="both"/>
      </w:pPr>
      <w:proofErr w:type="spellStart"/>
      <w:r>
        <w:rPr>
          <w:rFonts w:cs="Cambria"/>
          <w:color w:val="000000"/>
          <w:shd w:val="clear" w:color="auto" w:fill="FFFFFF"/>
        </w:rPr>
        <w:t>Benoît</w:t>
      </w:r>
      <w:proofErr w:type="spellEnd"/>
      <w:r>
        <w:rPr>
          <w:rFonts w:cs="Cambria"/>
          <w:color w:val="000000"/>
          <w:shd w:val="clear" w:color="auto" w:fill="FFFFFF"/>
        </w:rPr>
        <w:t xml:space="preserve"> </w:t>
      </w:r>
      <w:proofErr w:type="spellStart"/>
      <w:r>
        <w:rPr>
          <w:rFonts w:cs="Cambria"/>
          <w:color w:val="000000"/>
          <w:shd w:val="clear" w:color="auto" w:fill="FFFFFF"/>
        </w:rPr>
        <w:t>Haberbusch</w:t>
      </w:r>
      <w:proofErr w:type="spellEnd"/>
      <w:r>
        <w:rPr>
          <w:rFonts w:cs="Cambria"/>
          <w:color w:val="000000"/>
          <w:shd w:val="clear" w:color="auto" w:fill="FFFFFF"/>
        </w:rPr>
        <w:t>, Centre de recherche EOGN.</w:t>
      </w:r>
    </w:p>
    <w:p w14:paraId="3C054793" w14:textId="77777777" w:rsidR="000B32B4" w:rsidRDefault="000B32B4" w:rsidP="00CE44DE">
      <w:pPr>
        <w:jc w:val="both"/>
        <w:rPr>
          <w:rFonts w:cs="Times New Roman"/>
          <w:i/>
          <w:color w:val="000000"/>
          <w:sz w:val="22"/>
          <w:szCs w:val="22"/>
        </w:rPr>
      </w:pPr>
    </w:p>
    <w:p w14:paraId="3197AE6A" w14:textId="77777777" w:rsidR="000B32B4" w:rsidRDefault="00000000" w:rsidP="00CE44DE">
      <w:pPr>
        <w:jc w:val="both"/>
      </w:pPr>
      <w:r>
        <w:rPr>
          <w:rFonts w:cs="Times New Roman"/>
          <w:b/>
          <w:bCs/>
          <w:color w:val="000000"/>
          <w:sz w:val="28"/>
          <w:szCs w:val="28"/>
        </w:rPr>
        <w:t>5 décembre – Faire de l’histoire avec la chanson</w:t>
      </w:r>
    </w:p>
    <w:p w14:paraId="230AF472" w14:textId="77777777" w:rsidR="000B32B4" w:rsidRDefault="00000000">
      <w:pPr>
        <w:spacing w:before="57"/>
        <w:jc w:val="both"/>
        <w:rPr>
          <w:rFonts w:ascii="Cambria" w:hAnsi="Cambria"/>
          <w:color w:val="663300"/>
          <w:sz w:val="28"/>
          <w:szCs w:val="28"/>
        </w:rPr>
      </w:pPr>
      <w:r>
        <w:rPr>
          <w:rFonts w:ascii="Cambria" w:hAnsi="Cambria" w:cs="Times New Roman"/>
          <w:b/>
          <w:bCs/>
          <w:i/>
          <w:iCs/>
          <w:color w:val="663300"/>
          <w:sz w:val="28"/>
          <w:szCs w:val="28"/>
        </w:rPr>
        <w:t xml:space="preserve">"Y n’faut rien voir… ou </w:t>
      </w:r>
      <w:proofErr w:type="spellStart"/>
      <w:r>
        <w:rPr>
          <w:rFonts w:ascii="Cambria" w:hAnsi="Cambria" w:cs="Times New Roman"/>
          <w:b/>
          <w:bCs/>
          <w:i/>
          <w:iCs/>
          <w:color w:val="663300"/>
          <w:sz w:val="28"/>
          <w:szCs w:val="28"/>
        </w:rPr>
        <w:t>fair</w:t>
      </w:r>
      <w:proofErr w:type="spellEnd"/>
      <w:r>
        <w:rPr>
          <w:rFonts w:ascii="Cambria" w:hAnsi="Cambria" w:cs="Times New Roman"/>
          <w:b/>
          <w:bCs/>
          <w:i/>
          <w:iCs/>
          <w:color w:val="663300"/>
          <w:sz w:val="28"/>
          <w:szCs w:val="28"/>
        </w:rPr>
        <w:t>’ semblant… V’là les grands voyous", Acteurs et représentations du crime dans la chanson de divertissement, 1880-1960 </w:t>
      </w:r>
    </w:p>
    <w:p w14:paraId="76508E61" w14:textId="77777777" w:rsidR="000B32B4" w:rsidRDefault="00000000" w:rsidP="00587ECD">
      <w:pPr>
        <w:jc w:val="both"/>
      </w:pPr>
      <w:r>
        <w:rPr>
          <w:rFonts w:cs="Times New Roman"/>
          <w:color w:val="000000"/>
        </w:rPr>
        <w:t xml:space="preserve">Marie Lucas-Goupil-Fontaine, Centre d’Histoire du XIXe siècle – TEMOS et </w:t>
      </w:r>
      <w:proofErr w:type="spellStart"/>
      <w:r>
        <w:rPr>
          <w:rFonts w:cs="Times New Roman"/>
          <w:color w:val="000000"/>
        </w:rPr>
        <w:t>Inathèque</w:t>
      </w:r>
      <w:proofErr w:type="spellEnd"/>
      <w:r>
        <w:rPr>
          <w:rFonts w:cs="Times New Roman"/>
          <w:color w:val="000000"/>
        </w:rPr>
        <w:t>.</w:t>
      </w:r>
    </w:p>
    <w:p w14:paraId="0B731EB2" w14:textId="77777777" w:rsidR="000B32B4" w:rsidRDefault="000B32B4" w:rsidP="00CE44DE">
      <w:pPr>
        <w:jc w:val="both"/>
        <w:rPr>
          <w:rFonts w:cs="Times New Roman"/>
          <w:color w:val="000000"/>
          <w:sz w:val="22"/>
          <w:szCs w:val="22"/>
        </w:rPr>
      </w:pPr>
    </w:p>
    <w:p w14:paraId="5A6D4517" w14:textId="77777777" w:rsidR="000B32B4" w:rsidRDefault="00000000" w:rsidP="00CE44DE">
      <w:pPr>
        <w:jc w:val="both"/>
      </w:pPr>
      <w:r>
        <w:rPr>
          <w:rFonts w:cs="Times New Roman"/>
          <w:b/>
          <w:bCs/>
          <w:color w:val="000000"/>
          <w:spacing w:val="-8"/>
          <w:sz w:val="28"/>
          <w:szCs w:val="28"/>
        </w:rPr>
        <w:t>12 décembre – Faire de l’histoire avec des cartes</w:t>
      </w:r>
    </w:p>
    <w:p w14:paraId="2D006690" w14:textId="77777777" w:rsidR="000B32B4" w:rsidRDefault="00000000">
      <w:pPr>
        <w:spacing w:before="57"/>
        <w:jc w:val="both"/>
        <w:rPr>
          <w:rFonts w:ascii="Cambria" w:hAnsi="Cambria"/>
          <w:color w:val="663300"/>
          <w:sz w:val="28"/>
          <w:szCs w:val="28"/>
        </w:rPr>
      </w:pPr>
      <w:r>
        <w:rPr>
          <w:rFonts w:ascii="Cambria" w:hAnsi="Cambria" w:cs="Times New Roman"/>
          <w:b/>
          <w:bCs/>
          <w:i/>
          <w:iCs/>
          <w:color w:val="663300"/>
          <w:spacing w:val="-8"/>
          <w:sz w:val="28"/>
          <w:szCs w:val="28"/>
        </w:rPr>
        <w:t>Les atlas de l’histoire de France, retour d’expérience</w:t>
      </w:r>
    </w:p>
    <w:p w14:paraId="036B68AD" w14:textId="77777777" w:rsidR="000B32B4" w:rsidRDefault="00000000" w:rsidP="00587ECD">
      <w:pPr>
        <w:jc w:val="both"/>
      </w:pPr>
      <w:r>
        <w:rPr>
          <w:rFonts w:cs="Times New Roman"/>
          <w:color w:val="000000"/>
          <w:spacing w:val="-8"/>
        </w:rPr>
        <w:t xml:space="preserve">Aurélia </w:t>
      </w:r>
      <w:proofErr w:type="spellStart"/>
      <w:r>
        <w:rPr>
          <w:rFonts w:cs="Times New Roman"/>
          <w:color w:val="000000"/>
          <w:spacing w:val="-8"/>
        </w:rPr>
        <w:t>Dusserre</w:t>
      </w:r>
      <w:proofErr w:type="spellEnd"/>
      <w:r>
        <w:rPr>
          <w:rFonts w:cs="Times New Roman"/>
          <w:color w:val="000000"/>
          <w:spacing w:val="-8"/>
        </w:rPr>
        <w:t>, Université d’Aix-Marseille, IREMAM.</w:t>
      </w:r>
    </w:p>
    <w:p w14:paraId="4A9B5777" w14:textId="77777777" w:rsidR="000B32B4" w:rsidRDefault="000B32B4" w:rsidP="00CE44DE">
      <w:pPr>
        <w:jc w:val="both"/>
        <w:rPr>
          <w:rFonts w:cs="Times New Roman"/>
          <w:color w:val="000000"/>
          <w:spacing w:val="-8"/>
          <w:sz w:val="28"/>
          <w:szCs w:val="28"/>
        </w:rPr>
      </w:pPr>
    </w:p>
    <w:p w14:paraId="2EE8ABA5" w14:textId="32C8C4D3" w:rsidR="000B32B4" w:rsidRDefault="00000000" w:rsidP="00CE44DE">
      <w:pPr>
        <w:jc w:val="both"/>
        <w:rPr>
          <w:rFonts w:ascii="Cambria" w:hAnsi="Cambria" w:cs="Times New Roman"/>
          <w:b/>
          <w:bCs/>
          <w:color w:val="000000"/>
          <w:spacing w:val="-8"/>
          <w:sz w:val="28"/>
          <w:szCs w:val="28"/>
        </w:rPr>
      </w:pPr>
      <w:r>
        <w:rPr>
          <w:rFonts w:cs="Times New Roman"/>
          <w:b/>
          <w:bCs/>
          <w:color w:val="000000"/>
          <w:spacing w:val="-8"/>
          <w:sz w:val="28"/>
          <w:szCs w:val="28"/>
        </w:rPr>
        <w:t>19 décembre</w:t>
      </w:r>
      <w:r w:rsidR="009A245C">
        <w:rPr>
          <w:rFonts w:cs="Times New Roman"/>
          <w:b/>
          <w:bCs/>
          <w:color w:val="000000"/>
          <w:spacing w:val="-8"/>
          <w:sz w:val="28"/>
          <w:szCs w:val="28"/>
        </w:rPr>
        <w:t xml:space="preserve"> – </w:t>
      </w:r>
      <w:r w:rsidR="009A245C" w:rsidRPr="009A245C">
        <w:rPr>
          <w:rFonts w:ascii="Cambria" w:hAnsi="Cambria" w:cs="Times New Roman"/>
          <w:b/>
          <w:bCs/>
          <w:color w:val="000000"/>
          <w:spacing w:val="-8"/>
          <w:sz w:val="28"/>
          <w:szCs w:val="28"/>
        </w:rPr>
        <w:t>Mé</w:t>
      </w:r>
      <w:r w:rsidRPr="009A245C">
        <w:rPr>
          <w:rFonts w:ascii="Cambria" w:hAnsi="Cambria" w:cs="Times New Roman"/>
          <w:b/>
          <w:bCs/>
          <w:color w:val="000000"/>
          <w:spacing w:val="-8"/>
          <w:sz w:val="28"/>
          <w:szCs w:val="28"/>
        </w:rPr>
        <w:t>thodologie de la recherche (4)</w:t>
      </w:r>
      <w:r w:rsidR="009A245C" w:rsidRPr="009A245C">
        <w:rPr>
          <w:rFonts w:ascii="Cambria" w:hAnsi="Cambria" w:cs="Times New Roman"/>
          <w:b/>
          <w:bCs/>
          <w:color w:val="000000"/>
          <w:spacing w:val="-8"/>
          <w:sz w:val="28"/>
          <w:szCs w:val="28"/>
        </w:rPr>
        <w:t>.</w:t>
      </w:r>
      <w:r w:rsidR="009A245C">
        <w:rPr>
          <w:rFonts w:cs="Times New Roman"/>
          <w:b/>
          <w:bCs/>
          <w:color w:val="000000"/>
          <w:spacing w:val="-8"/>
          <w:sz w:val="28"/>
          <w:szCs w:val="28"/>
        </w:rPr>
        <w:t xml:space="preserve"> </w:t>
      </w:r>
      <w:r w:rsidRPr="009A245C">
        <w:rPr>
          <w:rFonts w:ascii="Cambria" w:hAnsi="Cambria" w:cs="Times New Roman"/>
          <w:b/>
          <w:bCs/>
          <w:color w:val="000000"/>
          <w:spacing w:val="-8"/>
          <w:sz w:val="28"/>
          <w:szCs w:val="28"/>
        </w:rPr>
        <w:t xml:space="preserve">Point d'étape sur les recherches en cours. </w:t>
      </w:r>
    </w:p>
    <w:sectPr w:rsidR="000B32B4" w:rsidSect="00CE44DE">
      <w:pgSz w:w="11906" w:h="16838"/>
      <w:pgMar w:top="567" w:right="567" w:bottom="567" w:left="567" w:header="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A20E3" w14:textId="77777777" w:rsidR="00B20368" w:rsidRDefault="00B20368" w:rsidP="00477352">
      <w:r>
        <w:separator/>
      </w:r>
    </w:p>
  </w:endnote>
  <w:endnote w:type="continuationSeparator" w:id="0">
    <w:p w14:paraId="44D6F60C" w14:textId="77777777" w:rsidR="00B20368" w:rsidRDefault="00B20368" w:rsidP="00477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1"/>
    <w:family w:val="roman"/>
    <w:pitch w:val="variable"/>
  </w:font>
  <w:font w:name="PingFang SC">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7CF92" w14:textId="77777777" w:rsidR="00B20368" w:rsidRDefault="00B20368" w:rsidP="00477352">
      <w:r>
        <w:separator/>
      </w:r>
    </w:p>
  </w:footnote>
  <w:footnote w:type="continuationSeparator" w:id="0">
    <w:p w14:paraId="0F19A796" w14:textId="77777777" w:rsidR="00B20368" w:rsidRDefault="00B20368" w:rsidP="004773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B4"/>
    <w:rsid w:val="000B32B4"/>
    <w:rsid w:val="001F69D3"/>
    <w:rsid w:val="00477352"/>
    <w:rsid w:val="00496B9D"/>
    <w:rsid w:val="00587ECD"/>
    <w:rsid w:val="008820B4"/>
    <w:rsid w:val="009A245C"/>
    <w:rsid w:val="00B20368"/>
    <w:rsid w:val="00CE44DE"/>
    <w:rsid w:val="00E75C3B"/>
    <w:rsid w:val="00FE2E1A"/>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327F7"/>
  <w15:docId w15:val="{0D581E14-2BEF-4885-AB86-C33E5A318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eastAsia="Arial Unicode MS" w:cs="Arial Unicode MS"/>
      <w:kern w:val="2"/>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qFormat/>
  </w:style>
  <w:style w:type="character" w:styleId="Lienhypertexte">
    <w:name w:val="Hyperlink"/>
    <w:rPr>
      <w:color w:val="0000FF"/>
      <w:u w:val="single"/>
    </w:rPr>
  </w:style>
  <w:style w:type="character" w:styleId="Lienhypertextesuivivisit">
    <w:name w:val="FollowedHyperlink"/>
    <w:rPr>
      <w:color w:val="800000"/>
      <w:u w:val="single"/>
    </w:rPr>
  </w:style>
  <w:style w:type="character" w:customStyle="1" w:styleId="Caractresdenotedebasdepage">
    <w:name w:val="Caractères de note de bas de page"/>
    <w:qFormat/>
    <w:rPr>
      <w:vertAlign w:val="superscript"/>
    </w:rPr>
  </w:style>
  <w:style w:type="character" w:customStyle="1" w:styleId="WW-Caractresdenotedebasdepage">
    <w:name w:val="WW-Caractères de note de bas de page"/>
    <w:qFormat/>
  </w:style>
  <w:style w:type="character" w:customStyle="1" w:styleId="Caractresdenotedefin">
    <w:name w:val="Caractères de note de fin"/>
    <w:qFormat/>
    <w:rPr>
      <w:vertAlign w:val="superscript"/>
    </w:rPr>
  </w:style>
  <w:style w:type="character" w:customStyle="1" w:styleId="WW-Caractresdenotedefin">
    <w:name w:val="WW-Caractères de note de fin"/>
    <w:qFormat/>
  </w:style>
  <w:style w:type="character" w:customStyle="1" w:styleId="Appelnotedebasdep1">
    <w:name w:val="Appel note de bas de p.1"/>
    <w:qFormat/>
    <w:rPr>
      <w:vertAlign w:val="superscript"/>
    </w:rPr>
  </w:style>
  <w:style w:type="character" w:customStyle="1" w:styleId="Appeldenotedefin1">
    <w:name w:val="Appel de note de fin1"/>
    <w:qFormat/>
    <w:rPr>
      <w:vertAlign w:val="superscript"/>
    </w:rPr>
  </w:style>
  <w:style w:type="character" w:customStyle="1" w:styleId="Sous-titreCar">
    <w:name w:val="Sous-titre Car"/>
    <w:uiPriority w:val="11"/>
    <w:qFormat/>
    <w:rPr>
      <w:rFonts w:ascii="Calibri Light" w:eastAsia="Times New Roman" w:hAnsi="Calibri Light" w:cs="Mangal"/>
      <w:kern w:val="2"/>
      <w:sz w:val="24"/>
      <w:szCs w:val="21"/>
      <w:lang w:bidi="hi-IN"/>
    </w:rPr>
  </w:style>
  <w:style w:type="character" w:styleId="Accentuationlgre">
    <w:name w:val="Subtle Emphasis"/>
    <w:qFormat/>
    <w:rPr>
      <w:i/>
      <w:iCs/>
      <w:color w:val="404040"/>
    </w:rPr>
  </w:style>
  <w:style w:type="character" w:styleId="Mentionnonrsolue">
    <w:name w:val="Unresolved Mention"/>
    <w:qFormat/>
    <w:rPr>
      <w:color w:val="605E5C"/>
      <w:shd w:val="clear" w:color="auto" w:fill="E1DFDD"/>
    </w:rPr>
  </w:style>
  <w:style w:type="character" w:customStyle="1" w:styleId="Appeldenote">
    <w:name w:val="Appel de note"/>
    <w:qFormat/>
    <w:rPr>
      <w:vertAlign w:val="superscript"/>
    </w:rPr>
  </w:style>
  <w:style w:type="paragraph" w:styleId="Titre">
    <w:name w:val="Title"/>
    <w:basedOn w:val="Normal"/>
    <w:next w:val="Corpsdetexte"/>
    <w:qFormat/>
    <w:pPr>
      <w:keepNext/>
      <w:spacing w:before="240" w:after="120"/>
    </w:pPr>
    <w:rPr>
      <w:rFonts w:ascii="Liberation Sans" w:eastAsia="PingFang SC" w:hAnsi="Liberation Sans"/>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itre2">
    <w:name w:val="Titre2"/>
    <w:basedOn w:val="Normal"/>
    <w:next w:val="Corpsdetexte"/>
    <w:qFormat/>
    <w:pPr>
      <w:keepNext/>
      <w:spacing w:before="240" w:after="120"/>
    </w:pPr>
    <w:rPr>
      <w:rFonts w:ascii="Arial" w:hAnsi="Arial"/>
      <w:sz w:val="28"/>
      <w:szCs w:val="28"/>
    </w:rPr>
  </w:style>
  <w:style w:type="paragraph" w:customStyle="1" w:styleId="Titre1">
    <w:name w:val="Titre1"/>
    <w:basedOn w:val="Normal"/>
    <w:next w:val="Corpsdetexte"/>
    <w:qFormat/>
    <w:pPr>
      <w:keepNext/>
      <w:spacing w:before="240" w:after="120"/>
    </w:pPr>
    <w:rPr>
      <w:rFonts w:ascii="Arial" w:hAnsi="Arial"/>
      <w:sz w:val="28"/>
      <w:szCs w:val="28"/>
    </w:rPr>
  </w:style>
  <w:style w:type="paragraph" w:customStyle="1" w:styleId="Lgende1">
    <w:name w:val="Légende1"/>
    <w:basedOn w:val="Normal"/>
    <w:qFormat/>
    <w:pPr>
      <w:suppressLineNumbers/>
      <w:spacing w:before="120" w:after="120"/>
    </w:pPr>
    <w:rPr>
      <w:i/>
      <w:iCs/>
    </w:rPr>
  </w:style>
  <w:style w:type="paragraph" w:styleId="Notedebasdepage">
    <w:name w:val="footnote text"/>
    <w:basedOn w:val="Normal"/>
    <w:pPr>
      <w:suppressLineNumbers/>
      <w:ind w:left="283" w:hanging="283"/>
    </w:pPr>
    <w:rPr>
      <w:sz w:val="20"/>
      <w:szCs w:val="20"/>
    </w:rPr>
  </w:style>
  <w:style w:type="paragraph" w:styleId="Citation">
    <w:name w:val="Quote"/>
    <w:basedOn w:val="Normal"/>
    <w:qFormat/>
    <w:pPr>
      <w:spacing w:after="283"/>
      <w:ind w:left="567" w:right="567"/>
    </w:pPr>
  </w:style>
  <w:style w:type="paragraph" w:styleId="Sous-titre">
    <w:name w:val="Subtitle"/>
    <w:basedOn w:val="Normal"/>
    <w:next w:val="Normal"/>
    <w:uiPriority w:val="11"/>
    <w:qFormat/>
    <w:pPr>
      <w:spacing w:after="60"/>
      <w:jc w:val="center"/>
    </w:pPr>
    <w:rPr>
      <w:rFonts w:ascii="Calibri Light" w:eastAsia="Times New Roman" w:hAnsi="Calibri Light"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arnaud.houte@sorbonne-universit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604</Words>
  <Characters>3322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 houte</dc:creator>
  <dc:description/>
  <cp:lastModifiedBy>Jean-Noël Luc</cp:lastModifiedBy>
  <cp:revision>6</cp:revision>
  <cp:lastPrinted>1899-12-31T23:00:00Z</cp:lastPrinted>
  <dcterms:created xsi:type="dcterms:W3CDTF">2023-09-17T17:27:00Z</dcterms:created>
  <dcterms:modified xsi:type="dcterms:W3CDTF">2023-09-18T08:12:00Z</dcterms:modified>
  <dc:language>fr-FR</dc:language>
</cp:coreProperties>
</file>