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A8E274" w14:textId="77777777" w:rsidR="00442BD3" w:rsidRDefault="00000000">
      <w:pPr>
        <w:pStyle w:val="Sous-titre"/>
        <w:rPr>
          <w:rFonts w:eastAsia="Calibri Light" w:cs="Calibri Light"/>
        </w:rPr>
      </w:pPr>
      <w:r>
        <w:rPr>
          <w:noProof/>
        </w:rPr>
        <w:drawing>
          <wp:anchor distT="0" distB="0" distL="0" distR="0" simplePos="0" relativeHeight="4" behindDoc="0" locked="0" layoutInCell="0" allowOverlap="1" wp14:anchorId="3A09747C" wp14:editId="17C69D87">
            <wp:simplePos x="0" y="0"/>
            <wp:positionH relativeFrom="column">
              <wp:posOffset>2045335</wp:posOffset>
            </wp:positionH>
            <wp:positionV relativeFrom="paragraph">
              <wp:posOffset>1331595</wp:posOffset>
            </wp:positionV>
            <wp:extent cx="2091690" cy="673100"/>
            <wp:effectExtent l="0" t="0" r="0" b="0"/>
            <wp:wrapTopAndBottom/>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6"/>
                    <a:srcRect l="-35" t="-107" r="-35" b="-107"/>
                    <a:stretch>
                      <a:fillRect/>
                    </a:stretch>
                  </pic:blipFill>
                  <pic:spPr bwMode="auto">
                    <a:xfrm>
                      <a:off x="0" y="0"/>
                      <a:ext cx="2091690" cy="673100"/>
                    </a:xfrm>
                    <a:prstGeom prst="rect">
                      <a:avLst/>
                    </a:prstGeom>
                  </pic:spPr>
                </pic:pic>
              </a:graphicData>
            </a:graphic>
          </wp:anchor>
        </w:drawing>
      </w:r>
      <w:r>
        <w:rPr>
          <w:noProof/>
        </w:rPr>
        <w:drawing>
          <wp:inline distT="0" distB="0" distL="0" distR="0" wp14:anchorId="39960DC6" wp14:editId="4C9B3494">
            <wp:extent cx="1997710" cy="802640"/>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7"/>
                    <a:srcRect l="-79" t="-197" r="-79" b="-197"/>
                    <a:stretch>
                      <a:fillRect/>
                    </a:stretch>
                  </pic:blipFill>
                  <pic:spPr bwMode="auto">
                    <a:xfrm>
                      <a:off x="0" y="0"/>
                      <a:ext cx="1997710" cy="802640"/>
                    </a:xfrm>
                    <a:prstGeom prst="rect">
                      <a:avLst/>
                    </a:prstGeom>
                  </pic:spPr>
                </pic:pic>
              </a:graphicData>
            </a:graphic>
          </wp:inline>
        </w:drawing>
      </w:r>
      <w:r>
        <w:rPr>
          <w:rFonts w:eastAsia="Calibri Light" w:cs="Calibri Light"/>
        </w:rPr>
        <w:t xml:space="preserve">                                      </w:t>
      </w:r>
      <w:r>
        <w:rPr>
          <w:noProof/>
        </w:rPr>
        <w:drawing>
          <wp:inline distT="0" distB="0" distL="0" distR="0" wp14:anchorId="793CEED3" wp14:editId="31A3056C">
            <wp:extent cx="1220470" cy="116268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8"/>
                    <a:srcRect l="-118" t="-124" r="-118" b="-124"/>
                    <a:stretch>
                      <a:fillRect/>
                    </a:stretch>
                  </pic:blipFill>
                  <pic:spPr bwMode="auto">
                    <a:xfrm>
                      <a:off x="0" y="0"/>
                      <a:ext cx="1220470" cy="1162685"/>
                    </a:xfrm>
                    <a:prstGeom prst="rect">
                      <a:avLst/>
                    </a:prstGeom>
                  </pic:spPr>
                </pic:pic>
              </a:graphicData>
            </a:graphic>
          </wp:inline>
        </w:drawing>
      </w:r>
    </w:p>
    <w:p w14:paraId="05047142" w14:textId="77777777" w:rsidR="00442BD3" w:rsidRDefault="00442BD3">
      <w:pPr>
        <w:suppressAutoHyphens w:val="0"/>
        <w:spacing w:line="100" w:lineRule="atLeast"/>
        <w:rPr>
          <w:rFonts w:eastAsia="Times New Roman" w:cs="Times New Roman"/>
          <w:sz w:val="20"/>
          <w:szCs w:val="20"/>
        </w:rPr>
      </w:pPr>
    </w:p>
    <w:p w14:paraId="1679A0C9" w14:textId="77777777" w:rsidR="00442BD3" w:rsidRDefault="00000000">
      <w:pPr>
        <w:pBdr>
          <w:top w:val="single" w:sz="8" w:space="1" w:color="000000"/>
          <w:left w:val="single" w:sz="8" w:space="4" w:color="000000"/>
          <w:bottom w:val="single" w:sz="8" w:space="1" w:color="000000"/>
          <w:right w:val="single" w:sz="8" w:space="4" w:color="000000"/>
        </w:pBdr>
        <w:shd w:val="clear" w:color="auto" w:fill="FF9999"/>
        <w:suppressAutoHyphens w:val="0"/>
        <w:spacing w:after="60" w:line="100" w:lineRule="atLeast"/>
        <w:jc w:val="center"/>
      </w:pPr>
      <w:r>
        <w:rPr>
          <w:rFonts w:eastAsia="Times New Roman" w:cs="Times New Roman"/>
          <w:b/>
          <w:sz w:val="36"/>
          <w:szCs w:val="36"/>
        </w:rPr>
        <w:t xml:space="preserve">Acteurs, pratiques et représentations de la sécurité </w:t>
      </w:r>
    </w:p>
    <w:p w14:paraId="5319EE26" w14:textId="77777777" w:rsidR="00442BD3" w:rsidRDefault="00000000">
      <w:pPr>
        <w:pBdr>
          <w:top w:val="single" w:sz="8" w:space="1" w:color="000000"/>
          <w:left w:val="single" w:sz="8" w:space="4" w:color="000000"/>
          <w:bottom w:val="single" w:sz="8" w:space="1" w:color="000000"/>
          <w:right w:val="single" w:sz="8" w:space="4" w:color="000000"/>
        </w:pBdr>
        <w:shd w:val="clear" w:color="auto" w:fill="FF9999"/>
        <w:suppressAutoHyphens w:val="0"/>
        <w:spacing w:after="100" w:line="100" w:lineRule="atLeast"/>
        <w:jc w:val="center"/>
      </w:pPr>
      <w:r>
        <w:rPr>
          <w:rFonts w:eastAsia="Times New Roman" w:cs="Times New Roman"/>
          <w:b/>
          <w:sz w:val="36"/>
          <w:szCs w:val="36"/>
        </w:rPr>
        <w:t>XIXe-XXIe siècles</w:t>
      </w:r>
    </w:p>
    <w:p w14:paraId="24D20B50" w14:textId="77777777" w:rsidR="00442BD3" w:rsidRDefault="00000000">
      <w:pPr>
        <w:suppressAutoHyphens w:val="0"/>
        <w:spacing w:before="100" w:line="100" w:lineRule="atLeast"/>
        <w:jc w:val="center"/>
      </w:pPr>
      <w:r>
        <w:rPr>
          <w:rFonts w:eastAsia="Times New Roman" w:cs="Times New Roman"/>
          <w:b/>
          <w:sz w:val="28"/>
          <w:szCs w:val="28"/>
        </w:rPr>
        <w:t xml:space="preserve">Pr Arnaud-Dominique </w:t>
      </w:r>
      <w:proofErr w:type="gramStart"/>
      <w:r>
        <w:rPr>
          <w:rFonts w:eastAsia="Times New Roman" w:cs="Times New Roman"/>
          <w:b/>
          <w:sz w:val="28"/>
          <w:szCs w:val="28"/>
        </w:rPr>
        <w:t>HOUTE  -</w:t>
      </w:r>
      <w:proofErr w:type="gramEnd"/>
      <w:r>
        <w:rPr>
          <w:rFonts w:eastAsia="Times New Roman" w:cs="Times New Roman"/>
          <w:b/>
          <w:sz w:val="28"/>
          <w:szCs w:val="28"/>
        </w:rPr>
        <w:t xml:space="preserve">  Pr émérite Jean-Noël LUC</w:t>
      </w:r>
    </w:p>
    <w:p w14:paraId="2908B7EF" w14:textId="77777777" w:rsidR="00442BD3" w:rsidRDefault="00000000">
      <w:pPr>
        <w:suppressAutoHyphens w:val="0"/>
        <w:spacing w:before="80" w:line="100" w:lineRule="atLeast"/>
        <w:jc w:val="center"/>
        <w:rPr>
          <w:sz w:val="36"/>
          <w:szCs w:val="36"/>
        </w:rPr>
      </w:pPr>
      <w:r>
        <w:rPr>
          <w:rFonts w:eastAsia="Times New Roman" w:cs="Times New Roman"/>
          <w:b/>
          <w:sz w:val="36"/>
          <w:szCs w:val="36"/>
        </w:rPr>
        <w:t>Séminaire Master-Doctorat</w:t>
      </w:r>
    </w:p>
    <w:p w14:paraId="4E850452" w14:textId="77777777" w:rsidR="00442BD3" w:rsidRDefault="00442BD3">
      <w:pPr>
        <w:suppressAutoHyphens w:val="0"/>
        <w:spacing w:before="40" w:line="100" w:lineRule="atLeast"/>
        <w:jc w:val="center"/>
        <w:rPr>
          <w:rFonts w:eastAsia="Times New Roman" w:cs="Times New Roman"/>
          <w:b/>
          <w:sz w:val="22"/>
          <w:szCs w:val="22"/>
        </w:rPr>
      </w:pPr>
    </w:p>
    <w:p w14:paraId="600395FA" w14:textId="470E9EC8" w:rsidR="00442BD3" w:rsidRDefault="00000000">
      <w:pPr>
        <w:suppressAutoHyphens w:val="0"/>
        <w:spacing w:before="40" w:line="100" w:lineRule="atLeast"/>
        <w:jc w:val="center"/>
      </w:pPr>
      <w:r>
        <w:rPr>
          <w:rFonts w:eastAsia="Times New Roman" w:cs="Times New Roman"/>
          <w:b/>
        </w:rPr>
        <w:t xml:space="preserve">Maison de la recherche (28 rue Serpente), mardi </w:t>
      </w:r>
      <w:r>
        <w:rPr>
          <w:rFonts w:eastAsia="Times New Roman" w:cs="Times New Roman"/>
          <w:b/>
          <w:shd w:val="clear" w:color="auto" w:fill="FFFF00"/>
        </w:rPr>
        <w:t>1</w:t>
      </w:r>
      <w:r w:rsidR="0007769B">
        <w:rPr>
          <w:rFonts w:eastAsia="Times New Roman" w:cs="Times New Roman"/>
          <w:b/>
          <w:shd w:val="clear" w:color="auto" w:fill="FFFF00"/>
        </w:rPr>
        <w:t>6</w:t>
      </w:r>
      <w:r>
        <w:rPr>
          <w:rFonts w:eastAsia="Times New Roman" w:cs="Times New Roman"/>
          <w:b/>
          <w:shd w:val="clear" w:color="auto" w:fill="FFFF00"/>
        </w:rPr>
        <w:t>h-1</w:t>
      </w:r>
      <w:r w:rsidR="0007769B">
        <w:rPr>
          <w:rFonts w:eastAsia="Times New Roman" w:cs="Times New Roman"/>
          <w:b/>
          <w:shd w:val="clear" w:color="auto" w:fill="FFFF00"/>
        </w:rPr>
        <w:t>8</w:t>
      </w:r>
      <w:r>
        <w:rPr>
          <w:rFonts w:eastAsia="Times New Roman" w:cs="Times New Roman"/>
          <w:b/>
          <w:shd w:val="clear" w:color="auto" w:fill="FFFF00"/>
        </w:rPr>
        <w:t>h</w:t>
      </w:r>
      <w:r>
        <w:rPr>
          <w:rFonts w:eastAsia="Times New Roman" w:cs="Times New Roman"/>
          <w:b/>
        </w:rPr>
        <w:t xml:space="preserve">, </w:t>
      </w:r>
      <w:r w:rsidR="0007769B">
        <w:rPr>
          <w:rFonts w:eastAsia="Times New Roman" w:cs="Times New Roman"/>
          <w:b/>
        </w:rPr>
        <w:t xml:space="preserve">amphi </w:t>
      </w:r>
      <w:proofErr w:type="spellStart"/>
      <w:r w:rsidR="0007769B">
        <w:rPr>
          <w:rFonts w:eastAsia="Times New Roman" w:cs="Times New Roman"/>
          <w:b/>
        </w:rPr>
        <w:t>Molinié</w:t>
      </w:r>
      <w:proofErr w:type="spellEnd"/>
    </w:p>
    <w:p w14:paraId="049D9002" w14:textId="77777777" w:rsidR="00442BD3" w:rsidRDefault="00000000">
      <w:pPr>
        <w:suppressAutoHyphens w:val="0"/>
        <w:spacing w:before="40" w:line="100" w:lineRule="atLeast"/>
        <w:jc w:val="center"/>
        <w:rPr>
          <w:sz w:val="22"/>
          <w:szCs w:val="22"/>
        </w:rPr>
      </w:pPr>
      <w:r>
        <w:rPr>
          <w:rFonts w:eastAsia="Times New Roman" w:cs="Times New Roman"/>
          <w:b/>
          <w:sz w:val="22"/>
          <w:szCs w:val="22"/>
        </w:rPr>
        <w:t xml:space="preserve">Informations : </w:t>
      </w:r>
      <w:hyperlink r:id="rId9">
        <w:r w:rsidR="00442BD3">
          <w:rPr>
            <w:rStyle w:val="Lienhypertexte"/>
            <w:sz w:val="22"/>
            <w:szCs w:val="22"/>
          </w:rPr>
          <w:t>arnaud.houte@sorbonne-universite.fr</w:t>
        </w:r>
      </w:hyperlink>
    </w:p>
    <w:p w14:paraId="2BAA5DB1" w14:textId="77777777" w:rsidR="00442BD3" w:rsidRDefault="00442BD3">
      <w:pPr>
        <w:spacing w:after="40"/>
        <w:ind w:left="57" w:right="113"/>
        <w:jc w:val="center"/>
        <w:rPr>
          <w:rFonts w:cs="Times New Roman"/>
          <w:i/>
          <w:iCs/>
          <w:sz w:val="22"/>
          <w:szCs w:val="22"/>
        </w:rPr>
      </w:pPr>
    </w:p>
    <w:p w14:paraId="41D91549" w14:textId="77777777" w:rsidR="00442BD3" w:rsidRDefault="00000000">
      <w:pPr>
        <w:spacing w:line="320" w:lineRule="exact"/>
        <w:ind w:firstLine="567"/>
        <w:jc w:val="both"/>
      </w:pPr>
      <w:r>
        <w:rPr>
          <w:rFonts w:cs="Times New Roman"/>
          <w:sz w:val="28"/>
          <w:szCs w:val="28"/>
        </w:rPr>
        <w:t>Ouvert aux étudiants de master et de doctorat, ainsi qu'aux chercheurs (historiens, sociologues, politistes, juristes, etc.), aux professionnels et aux citoyens, ce séminaire de recherche prend pour objet principal, mais non exclusif, la sécurité, dans une approche élargie, étroitement reliée aux enjeux sociaux, politiques et culturels de l'histoire générale.</w:t>
      </w:r>
    </w:p>
    <w:p w14:paraId="40125E06" w14:textId="4DAAE19E" w:rsidR="00442BD3" w:rsidRDefault="00000000">
      <w:pPr>
        <w:spacing w:before="80" w:line="320" w:lineRule="exact"/>
        <w:ind w:firstLine="567"/>
        <w:jc w:val="both"/>
      </w:pPr>
      <w:r>
        <w:rPr>
          <w:rFonts w:cs="Times New Roman"/>
          <w:sz w:val="28"/>
          <w:szCs w:val="28"/>
        </w:rPr>
        <w:t xml:space="preserve">Prolongeant des travaux individuels et collectifs développés depuis plus de vingt ans, il s'inscrit dans le cadre de Sorbonne-Université, et en collaboration avec la chaire </w:t>
      </w:r>
      <w:proofErr w:type="spellStart"/>
      <w:r>
        <w:rPr>
          <w:rFonts w:cs="Times New Roman"/>
          <w:sz w:val="28"/>
          <w:szCs w:val="28"/>
        </w:rPr>
        <w:t>HiGeSet</w:t>
      </w:r>
      <w:proofErr w:type="spellEnd"/>
      <w:r>
        <w:rPr>
          <w:rFonts w:cs="Times New Roman"/>
          <w:sz w:val="28"/>
          <w:szCs w:val="28"/>
        </w:rPr>
        <w:t xml:space="preserve"> Histoire, Gendarmerie, Sécurité &amp; Territoire(s) du Centre de recherche de la Gendarmerie nationale (CRGN).</w:t>
      </w:r>
    </w:p>
    <w:p w14:paraId="1BADD11E" w14:textId="77777777" w:rsidR="00442BD3" w:rsidRDefault="00000000">
      <w:pPr>
        <w:spacing w:before="80" w:line="320" w:lineRule="exact"/>
        <w:ind w:firstLine="567"/>
        <w:jc w:val="both"/>
      </w:pPr>
      <w:r>
        <w:rPr>
          <w:rFonts w:cs="Times New Roman"/>
          <w:sz w:val="28"/>
          <w:szCs w:val="28"/>
        </w:rPr>
        <w:t>Fondé sur une méthodologie historienne, mais ouvert aux approches des sciences sociales dans toute leur diversité, ce séminaire entend être un lieu de préparation, de présentation et de discussion de recherches consacrées à l'étude de la gendarmerie ainsi qu'à l'ensemble des institutions et des acteurs/actrices publics ou privés qui participent d'une manière ou d'une autre aux questions de sécurité. Pour comprendre ce problème dans son environnement global, il s'intéresse également à l'exploration des peurs et des passions sociales, abordées dans leur épaisseur historique, en tenant compte de leurs diversités sociales et territoriales.</w:t>
      </w:r>
    </w:p>
    <w:p w14:paraId="585AA45C" w14:textId="7A5D7B7D" w:rsidR="0057336C" w:rsidRDefault="00000000">
      <w:pPr>
        <w:spacing w:before="80" w:line="320" w:lineRule="exact"/>
        <w:ind w:firstLine="567"/>
        <w:jc w:val="both"/>
        <w:rPr>
          <w:rFonts w:cs="Times New Roman"/>
          <w:sz w:val="28"/>
          <w:szCs w:val="28"/>
        </w:rPr>
      </w:pPr>
      <w:r>
        <w:rPr>
          <w:rFonts w:cs="Times New Roman"/>
          <w:sz w:val="28"/>
          <w:szCs w:val="28"/>
        </w:rPr>
        <w:t>Le séminaire associe des séances méthodologiques (plus spécifiquement destinées aux étudiants de master) et des conférences (ouvertes au public), dans la volonté de multiplier les approches disciplinaires, les méthodes et les terrains d'enquête.</w:t>
      </w:r>
    </w:p>
    <w:p w14:paraId="74DB3072" w14:textId="77777777" w:rsidR="0057336C" w:rsidRDefault="0057336C">
      <w:pPr>
        <w:spacing w:before="80" w:line="320" w:lineRule="exact"/>
        <w:ind w:firstLine="567"/>
        <w:jc w:val="both"/>
      </w:pPr>
    </w:p>
    <w:p w14:paraId="763A391F" w14:textId="47F7C78E" w:rsidR="00442BD3" w:rsidRDefault="00000000">
      <w:pPr>
        <w:spacing w:before="57"/>
        <w:jc w:val="both"/>
      </w:pPr>
      <w:r>
        <w:rPr>
          <w:rFonts w:cs="Times New Roman"/>
          <w:b/>
          <w:bCs/>
          <w:color w:val="000000"/>
          <w:sz w:val="28"/>
          <w:szCs w:val="28"/>
        </w:rPr>
        <w:t>1</w:t>
      </w:r>
      <w:r w:rsidR="00CC3123">
        <w:rPr>
          <w:rFonts w:cs="Times New Roman"/>
          <w:b/>
          <w:bCs/>
          <w:color w:val="000000"/>
          <w:sz w:val="28"/>
          <w:szCs w:val="28"/>
        </w:rPr>
        <w:t>6</w:t>
      </w:r>
      <w:r>
        <w:rPr>
          <w:rFonts w:cs="Times New Roman"/>
          <w:b/>
          <w:bCs/>
          <w:color w:val="000000"/>
          <w:sz w:val="28"/>
          <w:szCs w:val="28"/>
        </w:rPr>
        <w:t xml:space="preserve"> septembre – </w:t>
      </w:r>
      <w:r w:rsidR="0078253E">
        <w:rPr>
          <w:rFonts w:cs="Times New Roman"/>
          <w:b/>
          <w:bCs/>
          <w:color w:val="000000"/>
          <w:sz w:val="28"/>
          <w:szCs w:val="28"/>
        </w:rPr>
        <w:t>Accueil des M1 : construire un sujet</w:t>
      </w:r>
    </w:p>
    <w:p w14:paraId="21333630" w14:textId="77777777" w:rsidR="0078253E" w:rsidRDefault="0078253E">
      <w:pPr>
        <w:spacing w:before="57"/>
        <w:jc w:val="both"/>
        <w:rPr>
          <w:rFonts w:cs="Times New Roman"/>
          <w:b/>
          <w:bCs/>
          <w:color w:val="000000"/>
          <w:spacing w:val="-6"/>
          <w:sz w:val="28"/>
          <w:szCs w:val="28"/>
        </w:rPr>
      </w:pPr>
    </w:p>
    <w:p w14:paraId="71F76D66" w14:textId="4F01B664" w:rsidR="00442BD3" w:rsidRDefault="00CC3123">
      <w:pPr>
        <w:spacing w:before="57"/>
        <w:jc w:val="both"/>
        <w:rPr>
          <w:rFonts w:cs="Times New Roman"/>
          <w:b/>
          <w:bCs/>
          <w:color w:val="000000"/>
          <w:spacing w:val="-6"/>
          <w:sz w:val="28"/>
          <w:szCs w:val="28"/>
        </w:rPr>
      </w:pPr>
      <w:r>
        <w:rPr>
          <w:rFonts w:cs="Times New Roman"/>
          <w:b/>
          <w:bCs/>
          <w:color w:val="000000"/>
          <w:spacing w:val="-6"/>
          <w:sz w:val="28"/>
          <w:szCs w:val="28"/>
        </w:rPr>
        <w:t>23 septembre – Méthodologie de la recherche</w:t>
      </w:r>
      <w:r w:rsidR="0078253E">
        <w:rPr>
          <w:rFonts w:cs="Times New Roman"/>
          <w:b/>
          <w:bCs/>
          <w:color w:val="000000"/>
          <w:spacing w:val="-6"/>
          <w:sz w:val="28"/>
          <w:szCs w:val="28"/>
        </w:rPr>
        <w:t xml:space="preserve"> (1)</w:t>
      </w:r>
    </w:p>
    <w:p w14:paraId="00978120" w14:textId="77777777" w:rsidR="0078253E" w:rsidRDefault="0078253E">
      <w:pPr>
        <w:spacing w:before="57"/>
        <w:jc w:val="both"/>
      </w:pPr>
    </w:p>
    <w:p w14:paraId="0744730C" w14:textId="77777777" w:rsidR="00B801CF" w:rsidRDefault="00CC3123" w:rsidP="00B801CF">
      <w:pPr>
        <w:spacing w:before="57"/>
        <w:jc w:val="both"/>
      </w:pPr>
      <w:r>
        <w:rPr>
          <w:rFonts w:cs="Times New Roman"/>
          <w:b/>
          <w:bCs/>
          <w:color w:val="000000"/>
          <w:sz w:val="28"/>
          <w:szCs w:val="28"/>
        </w:rPr>
        <w:t>30 septembre</w:t>
      </w:r>
      <w:r w:rsidR="0024177C">
        <w:rPr>
          <w:rFonts w:cs="Times New Roman"/>
          <w:b/>
          <w:bCs/>
          <w:color w:val="000000"/>
          <w:sz w:val="28"/>
          <w:szCs w:val="28"/>
        </w:rPr>
        <w:t xml:space="preserve"> –</w:t>
      </w:r>
      <w:r w:rsidR="00B801CF">
        <w:rPr>
          <w:rFonts w:cs="Times New Roman"/>
          <w:b/>
          <w:bCs/>
          <w:color w:val="000000"/>
          <w:sz w:val="28"/>
          <w:szCs w:val="28"/>
        </w:rPr>
        <w:t xml:space="preserve"> </w:t>
      </w:r>
      <w:r w:rsidR="00B801CF">
        <w:rPr>
          <w:rFonts w:cs="Times New Roman"/>
          <w:b/>
          <w:bCs/>
          <w:color w:val="000000"/>
          <w:sz w:val="28"/>
          <w:szCs w:val="28"/>
        </w:rPr>
        <w:t>Méthodologie de la recherche (2)</w:t>
      </w:r>
    </w:p>
    <w:p w14:paraId="65E8E541" w14:textId="67FE5631" w:rsidR="00CC3123" w:rsidRDefault="00CC3123" w:rsidP="0024177C">
      <w:pPr>
        <w:spacing w:before="57"/>
        <w:jc w:val="both"/>
        <w:rPr>
          <w:rFonts w:cs="Times New Roman"/>
          <w:b/>
          <w:bCs/>
          <w:color w:val="000000"/>
          <w:sz w:val="28"/>
          <w:szCs w:val="28"/>
        </w:rPr>
      </w:pPr>
    </w:p>
    <w:p w14:paraId="1A8F247C" w14:textId="7F0CFDCC" w:rsidR="00B801CF" w:rsidRDefault="00CC3123" w:rsidP="00CC3123">
      <w:pPr>
        <w:spacing w:before="57"/>
        <w:jc w:val="both"/>
        <w:rPr>
          <w:rFonts w:cs="Times New Roman"/>
          <w:b/>
          <w:bCs/>
          <w:color w:val="000000"/>
          <w:sz w:val="28"/>
          <w:szCs w:val="28"/>
        </w:rPr>
      </w:pPr>
      <w:r>
        <w:rPr>
          <w:rFonts w:cs="Times New Roman"/>
          <w:b/>
          <w:bCs/>
          <w:color w:val="000000"/>
          <w:sz w:val="28"/>
          <w:szCs w:val="28"/>
        </w:rPr>
        <w:t>7</w:t>
      </w:r>
      <w:r w:rsidR="0024177C">
        <w:rPr>
          <w:rFonts w:cs="Times New Roman"/>
          <w:b/>
          <w:bCs/>
          <w:color w:val="000000"/>
          <w:sz w:val="28"/>
          <w:szCs w:val="28"/>
        </w:rPr>
        <w:t xml:space="preserve"> octobre – </w:t>
      </w:r>
      <w:r w:rsidR="00B801CF">
        <w:rPr>
          <w:rFonts w:cs="Times New Roman"/>
          <w:b/>
          <w:bCs/>
          <w:color w:val="000000"/>
          <w:sz w:val="28"/>
          <w:szCs w:val="28"/>
        </w:rPr>
        <w:t>L’indispensable regard de la sociologie</w:t>
      </w:r>
    </w:p>
    <w:p w14:paraId="235D4F6F" w14:textId="56B98E4F" w:rsidR="00B801CF" w:rsidRDefault="00B801CF" w:rsidP="00B801CF">
      <w:pPr>
        <w:spacing w:before="57"/>
        <w:jc w:val="both"/>
        <w:rPr>
          <w:rFonts w:cs="Times New Roman"/>
          <w:color w:val="000000"/>
        </w:rPr>
      </w:pPr>
      <w:r>
        <w:rPr>
          <w:rFonts w:ascii="Cambria" w:hAnsi="Cambria" w:cs="Times New Roman"/>
          <w:b/>
          <w:bCs/>
          <w:i/>
          <w:iCs/>
          <w:color w:val="663300"/>
          <w:sz w:val="28"/>
          <w:szCs w:val="28"/>
        </w:rPr>
        <w:t>Le maintien de l’ordre depuis quinze ans : une escalade de la violence ?</w:t>
      </w:r>
    </w:p>
    <w:p w14:paraId="4DBD26D8" w14:textId="1841449B" w:rsidR="00B801CF" w:rsidRPr="00F404CC" w:rsidRDefault="00B801CF" w:rsidP="00B801CF">
      <w:pPr>
        <w:spacing w:before="57"/>
        <w:jc w:val="both"/>
        <w:rPr>
          <w:rFonts w:cs="Times New Roman"/>
          <w:color w:val="000000"/>
          <w:sz w:val="26"/>
          <w:szCs w:val="26"/>
        </w:rPr>
      </w:pPr>
      <w:r w:rsidRPr="00F404CC">
        <w:rPr>
          <w:rFonts w:cs="Times New Roman"/>
          <w:color w:val="000000"/>
          <w:sz w:val="26"/>
          <w:szCs w:val="26"/>
        </w:rPr>
        <w:t>Sébastian Roché</w:t>
      </w:r>
      <w:r w:rsidRPr="00F404CC">
        <w:rPr>
          <w:rFonts w:cs="Times New Roman"/>
          <w:color w:val="000000"/>
          <w:sz w:val="26"/>
          <w:szCs w:val="26"/>
        </w:rPr>
        <w:t xml:space="preserve"> (</w:t>
      </w:r>
      <w:r w:rsidR="00287170" w:rsidRPr="00F404CC">
        <w:rPr>
          <w:rFonts w:cs="Times New Roman"/>
          <w:color w:val="000000"/>
          <w:sz w:val="26"/>
          <w:szCs w:val="26"/>
        </w:rPr>
        <w:t xml:space="preserve">directeur de recherche au </w:t>
      </w:r>
      <w:r w:rsidRPr="00F404CC">
        <w:rPr>
          <w:rFonts w:cs="Times New Roman"/>
          <w:color w:val="000000"/>
          <w:sz w:val="26"/>
          <w:szCs w:val="26"/>
        </w:rPr>
        <w:t>CNRS, Sciences Po Grenoble</w:t>
      </w:r>
      <w:r w:rsidRPr="00F404CC">
        <w:rPr>
          <w:rFonts w:cs="Times New Roman"/>
          <w:color w:val="000000"/>
          <w:sz w:val="26"/>
          <w:szCs w:val="26"/>
        </w:rPr>
        <w:t>)</w:t>
      </w:r>
    </w:p>
    <w:p w14:paraId="0261019A" w14:textId="77777777" w:rsidR="00B801CF" w:rsidRDefault="00B801CF" w:rsidP="00CC3123">
      <w:pPr>
        <w:spacing w:before="57"/>
        <w:jc w:val="both"/>
        <w:rPr>
          <w:rFonts w:cs="Times New Roman"/>
          <w:b/>
          <w:bCs/>
          <w:color w:val="000000"/>
          <w:sz w:val="28"/>
          <w:szCs w:val="28"/>
        </w:rPr>
      </w:pPr>
    </w:p>
    <w:p w14:paraId="7518A5E2" w14:textId="2B36B622" w:rsidR="00B15851" w:rsidRDefault="00000000">
      <w:pPr>
        <w:spacing w:before="57"/>
        <w:jc w:val="both"/>
        <w:rPr>
          <w:rFonts w:cs="Times New Roman"/>
          <w:b/>
          <w:bCs/>
          <w:color w:val="000000"/>
          <w:sz w:val="28"/>
          <w:szCs w:val="28"/>
        </w:rPr>
      </w:pPr>
      <w:r>
        <w:rPr>
          <w:rFonts w:cs="Times New Roman"/>
          <w:b/>
          <w:bCs/>
          <w:color w:val="000000"/>
          <w:sz w:val="28"/>
          <w:szCs w:val="28"/>
        </w:rPr>
        <w:t>1</w:t>
      </w:r>
      <w:r w:rsidR="00CC3123">
        <w:rPr>
          <w:rFonts w:cs="Times New Roman"/>
          <w:b/>
          <w:bCs/>
          <w:color w:val="000000"/>
          <w:sz w:val="28"/>
          <w:szCs w:val="28"/>
        </w:rPr>
        <w:t>4</w:t>
      </w:r>
      <w:r>
        <w:rPr>
          <w:rFonts w:cs="Times New Roman"/>
          <w:b/>
          <w:bCs/>
          <w:color w:val="000000"/>
          <w:sz w:val="28"/>
          <w:szCs w:val="28"/>
        </w:rPr>
        <w:t xml:space="preserve"> octobre – </w:t>
      </w:r>
      <w:r w:rsidR="005461B0">
        <w:rPr>
          <w:rFonts w:cs="Times New Roman"/>
          <w:b/>
          <w:bCs/>
          <w:color w:val="000000"/>
          <w:sz w:val="28"/>
          <w:szCs w:val="28"/>
        </w:rPr>
        <w:t>Polices et enquête en Révolution</w:t>
      </w:r>
    </w:p>
    <w:p w14:paraId="14D62314" w14:textId="001AA351" w:rsidR="005461B0" w:rsidRDefault="005461B0" w:rsidP="005461B0">
      <w:pPr>
        <w:spacing w:before="57"/>
        <w:jc w:val="both"/>
        <w:rPr>
          <w:rFonts w:cs="Times New Roman"/>
          <w:color w:val="000000"/>
        </w:rPr>
      </w:pPr>
      <w:r>
        <w:rPr>
          <w:rFonts w:ascii="Cambria" w:hAnsi="Cambria" w:cs="Times New Roman"/>
          <w:b/>
          <w:bCs/>
          <w:i/>
          <w:iCs/>
          <w:color w:val="663300"/>
          <w:sz w:val="28"/>
          <w:szCs w:val="28"/>
        </w:rPr>
        <w:t>« Redoubler de zèle pour découvrir le crime » : les enquêtes de police à Caen pendant la Révolution Française</w:t>
      </w:r>
    </w:p>
    <w:p w14:paraId="080595D5" w14:textId="70A4B6AE" w:rsidR="007A5E29" w:rsidRPr="00F404CC" w:rsidRDefault="007A5E29">
      <w:pPr>
        <w:spacing w:before="57"/>
        <w:jc w:val="both"/>
        <w:rPr>
          <w:rFonts w:cs="Times New Roman"/>
          <w:color w:val="000000"/>
          <w:sz w:val="26"/>
          <w:szCs w:val="26"/>
        </w:rPr>
      </w:pPr>
      <w:r w:rsidRPr="00F404CC">
        <w:rPr>
          <w:rFonts w:cs="Times New Roman"/>
          <w:color w:val="000000"/>
          <w:sz w:val="26"/>
          <w:szCs w:val="26"/>
        </w:rPr>
        <w:t xml:space="preserve">Félix Breteau (docteur, université de Caen, </w:t>
      </w:r>
      <w:proofErr w:type="spellStart"/>
      <w:r w:rsidRPr="00F404CC">
        <w:rPr>
          <w:rFonts w:cs="Times New Roman"/>
          <w:color w:val="000000"/>
          <w:sz w:val="26"/>
          <w:szCs w:val="26"/>
        </w:rPr>
        <w:t>HisTéMé</w:t>
      </w:r>
      <w:proofErr w:type="spellEnd"/>
      <w:r w:rsidRPr="00F404CC">
        <w:rPr>
          <w:rFonts w:cs="Times New Roman"/>
          <w:color w:val="000000"/>
          <w:sz w:val="26"/>
          <w:szCs w:val="26"/>
        </w:rPr>
        <w:t>)</w:t>
      </w:r>
    </w:p>
    <w:p w14:paraId="44894C93" w14:textId="77777777" w:rsidR="00CC3123" w:rsidRDefault="00CC3123">
      <w:pPr>
        <w:spacing w:before="57"/>
        <w:jc w:val="both"/>
        <w:rPr>
          <w:color w:val="000000"/>
        </w:rPr>
      </w:pPr>
    </w:p>
    <w:p w14:paraId="36F8372B" w14:textId="7ABE6A9C" w:rsidR="00442BD3" w:rsidRDefault="00000000">
      <w:pPr>
        <w:spacing w:before="57"/>
        <w:jc w:val="both"/>
      </w:pPr>
      <w:r>
        <w:rPr>
          <w:rFonts w:cs="Times New Roman"/>
          <w:b/>
          <w:bCs/>
          <w:color w:val="000000"/>
          <w:sz w:val="28"/>
          <w:szCs w:val="28"/>
        </w:rPr>
        <w:t>2</w:t>
      </w:r>
      <w:r w:rsidR="00CC3123">
        <w:rPr>
          <w:rFonts w:cs="Times New Roman"/>
          <w:b/>
          <w:bCs/>
          <w:color w:val="000000"/>
          <w:sz w:val="28"/>
          <w:szCs w:val="28"/>
        </w:rPr>
        <w:t>1</w:t>
      </w:r>
      <w:r>
        <w:rPr>
          <w:rFonts w:cs="Times New Roman"/>
          <w:b/>
          <w:bCs/>
          <w:color w:val="000000"/>
          <w:sz w:val="28"/>
          <w:szCs w:val="28"/>
        </w:rPr>
        <w:t xml:space="preserve"> octobre – </w:t>
      </w:r>
      <w:r w:rsidR="004E589F">
        <w:rPr>
          <w:rFonts w:cs="Times New Roman"/>
          <w:b/>
          <w:bCs/>
          <w:color w:val="000000"/>
          <w:sz w:val="28"/>
          <w:szCs w:val="28"/>
        </w:rPr>
        <w:t>L</w:t>
      </w:r>
      <w:r w:rsidR="00B15851">
        <w:rPr>
          <w:rFonts w:cs="Times New Roman"/>
          <w:b/>
          <w:bCs/>
          <w:color w:val="000000"/>
          <w:sz w:val="28"/>
          <w:szCs w:val="28"/>
        </w:rPr>
        <w:t>’épuration et la justice</w:t>
      </w:r>
    </w:p>
    <w:p w14:paraId="161B7B0D" w14:textId="30347BD8" w:rsidR="0024177C" w:rsidRDefault="00B15851">
      <w:pPr>
        <w:spacing w:before="57"/>
        <w:jc w:val="both"/>
        <w:rPr>
          <w:rFonts w:cs="Times New Roman"/>
          <w:color w:val="000000"/>
        </w:rPr>
      </w:pPr>
      <w:r>
        <w:rPr>
          <w:rFonts w:ascii="Cambria" w:hAnsi="Cambria" w:cs="Times New Roman"/>
          <w:b/>
          <w:bCs/>
          <w:i/>
          <w:iCs/>
          <w:color w:val="663300"/>
          <w:sz w:val="28"/>
          <w:szCs w:val="28"/>
        </w:rPr>
        <w:t>Les femmes condamnées à mort en France à la Libération</w:t>
      </w:r>
    </w:p>
    <w:p w14:paraId="3E7688EC" w14:textId="38E49E36" w:rsidR="00442BD3" w:rsidRPr="00F404CC" w:rsidRDefault="0078253E">
      <w:pPr>
        <w:spacing w:before="57"/>
        <w:jc w:val="both"/>
        <w:rPr>
          <w:sz w:val="26"/>
          <w:szCs w:val="26"/>
        </w:rPr>
      </w:pPr>
      <w:r w:rsidRPr="00F404CC">
        <w:rPr>
          <w:rFonts w:cs="Times New Roman"/>
          <w:color w:val="000000"/>
          <w:sz w:val="26"/>
          <w:szCs w:val="26"/>
        </w:rPr>
        <w:t xml:space="preserve">Fabien </w:t>
      </w:r>
      <w:proofErr w:type="spellStart"/>
      <w:r w:rsidRPr="00F404CC">
        <w:rPr>
          <w:rFonts w:cs="Times New Roman"/>
          <w:color w:val="000000"/>
          <w:sz w:val="26"/>
          <w:szCs w:val="26"/>
        </w:rPr>
        <w:t>Lostec</w:t>
      </w:r>
      <w:proofErr w:type="spellEnd"/>
      <w:r w:rsidR="00287170" w:rsidRPr="00F404CC">
        <w:rPr>
          <w:rFonts w:cs="Times New Roman"/>
          <w:color w:val="000000"/>
          <w:sz w:val="26"/>
          <w:szCs w:val="26"/>
        </w:rPr>
        <w:t xml:space="preserve"> (docteur, université Rennes II, </w:t>
      </w:r>
      <w:proofErr w:type="spellStart"/>
      <w:r w:rsidR="00287170" w:rsidRPr="00F404CC">
        <w:rPr>
          <w:rFonts w:cs="Times New Roman"/>
          <w:color w:val="000000"/>
          <w:sz w:val="26"/>
          <w:szCs w:val="26"/>
        </w:rPr>
        <w:t>Tempora</w:t>
      </w:r>
      <w:proofErr w:type="spellEnd"/>
      <w:r w:rsidR="00287170" w:rsidRPr="00F404CC">
        <w:rPr>
          <w:rFonts w:cs="Times New Roman"/>
          <w:color w:val="000000"/>
          <w:sz w:val="26"/>
          <w:szCs w:val="26"/>
        </w:rPr>
        <w:t>)</w:t>
      </w:r>
    </w:p>
    <w:p w14:paraId="646F9BD3" w14:textId="77777777" w:rsidR="00442BD3" w:rsidRDefault="00442BD3">
      <w:pPr>
        <w:spacing w:before="57"/>
        <w:jc w:val="both"/>
        <w:rPr>
          <w:rFonts w:cs="Times New Roman"/>
          <w:color w:val="000000"/>
          <w:sz w:val="22"/>
          <w:szCs w:val="22"/>
        </w:rPr>
      </w:pPr>
    </w:p>
    <w:p w14:paraId="5B4992A5" w14:textId="0DFB2B34" w:rsidR="0024177C" w:rsidRDefault="00CC3123" w:rsidP="0024177C">
      <w:pPr>
        <w:spacing w:before="57"/>
        <w:jc w:val="both"/>
      </w:pPr>
      <w:r>
        <w:rPr>
          <w:rFonts w:cs="Times New Roman"/>
          <w:b/>
          <w:bCs/>
          <w:color w:val="000000"/>
          <w:sz w:val="28"/>
          <w:szCs w:val="28"/>
        </w:rPr>
        <w:t>4</w:t>
      </w:r>
      <w:r w:rsidR="0024177C">
        <w:rPr>
          <w:rFonts w:cs="Times New Roman"/>
          <w:b/>
          <w:bCs/>
          <w:color w:val="000000"/>
          <w:sz w:val="28"/>
          <w:szCs w:val="28"/>
        </w:rPr>
        <w:t xml:space="preserve"> novembre – </w:t>
      </w:r>
      <w:r w:rsidR="004E589F">
        <w:rPr>
          <w:rFonts w:cs="Arial"/>
          <w:b/>
          <w:bCs/>
          <w:color w:val="000000"/>
          <w:sz w:val="28"/>
          <w:szCs w:val="28"/>
          <w:shd w:val="clear" w:color="auto" w:fill="FFFFFF"/>
        </w:rPr>
        <w:t xml:space="preserve">Avis de recherche </w:t>
      </w:r>
    </w:p>
    <w:p w14:paraId="308BA979" w14:textId="5F87F02B" w:rsidR="0024177C" w:rsidRPr="00A7163C" w:rsidRDefault="004E589F" w:rsidP="0024177C">
      <w:pPr>
        <w:spacing w:before="57"/>
        <w:jc w:val="both"/>
        <w:rPr>
          <w:rFonts w:ascii="Cambria" w:hAnsi="Cambria"/>
          <w:color w:val="663300"/>
          <w:sz w:val="28"/>
          <w:szCs w:val="28"/>
        </w:rPr>
      </w:pPr>
      <w:r>
        <w:rPr>
          <w:rFonts w:ascii="Cambria" w:hAnsi="Cambria" w:cs="TimesNewRomanPS"/>
          <w:b/>
          <w:bCs/>
          <w:i/>
          <w:iCs/>
          <w:color w:val="663300"/>
          <w:sz w:val="28"/>
          <w:szCs w:val="28"/>
          <w:shd w:val="clear" w:color="auto" w:fill="FFFFFF"/>
        </w:rPr>
        <w:t>Comment étudier les représentations de la gendarmerie et des polices ?</w:t>
      </w:r>
    </w:p>
    <w:p w14:paraId="7E34AFC1" w14:textId="310D9EDA" w:rsidR="00442BD3" w:rsidRPr="00F404CC" w:rsidRDefault="000D3135" w:rsidP="00220851">
      <w:pPr>
        <w:pStyle w:val="Corpsdetexte"/>
        <w:spacing w:before="57" w:after="0"/>
        <w:rPr>
          <w:rFonts w:cs="Cambria"/>
          <w:color w:val="000000"/>
          <w:sz w:val="26"/>
          <w:szCs w:val="26"/>
          <w:shd w:val="clear" w:color="auto" w:fill="FFFFFF"/>
        </w:rPr>
      </w:pPr>
      <w:r w:rsidRPr="00F404CC">
        <w:rPr>
          <w:rFonts w:cs="Cambria"/>
          <w:color w:val="000000"/>
          <w:sz w:val="26"/>
          <w:szCs w:val="26"/>
          <w:shd w:val="clear" w:color="auto" w:fill="FFFFFF"/>
        </w:rPr>
        <w:t>Arnaud-Dominique Houte</w:t>
      </w:r>
      <w:r w:rsidR="004E589F">
        <w:rPr>
          <w:rFonts w:cs="Cambria"/>
          <w:color w:val="000000"/>
          <w:sz w:val="26"/>
          <w:szCs w:val="26"/>
          <w:shd w:val="clear" w:color="auto" w:fill="FFFFFF"/>
        </w:rPr>
        <w:t xml:space="preserve"> (Sorbonne-Université, Centre d’Histoire du XIXe siècle)</w:t>
      </w:r>
    </w:p>
    <w:p w14:paraId="70F99193" w14:textId="77777777" w:rsidR="007A5E29" w:rsidRPr="00E56340" w:rsidRDefault="007A5E29" w:rsidP="00220851">
      <w:pPr>
        <w:pStyle w:val="Corpsdetexte"/>
        <w:spacing w:before="57" w:after="0"/>
      </w:pPr>
    </w:p>
    <w:p w14:paraId="721D5DCB" w14:textId="0A173646" w:rsidR="007A5E29" w:rsidRDefault="00CC3123">
      <w:pPr>
        <w:spacing w:before="57"/>
        <w:jc w:val="both"/>
        <w:rPr>
          <w:rFonts w:cs="Times New Roman"/>
          <w:b/>
          <w:bCs/>
          <w:color w:val="000000"/>
          <w:sz w:val="28"/>
          <w:szCs w:val="28"/>
        </w:rPr>
      </w:pPr>
      <w:r>
        <w:rPr>
          <w:rFonts w:cs="Times New Roman"/>
          <w:b/>
          <w:bCs/>
          <w:color w:val="000000"/>
          <w:sz w:val="28"/>
          <w:szCs w:val="28"/>
        </w:rPr>
        <w:t>18</w:t>
      </w:r>
      <w:r w:rsidRPr="00A7163C">
        <w:rPr>
          <w:rFonts w:cs="Times New Roman"/>
          <w:b/>
          <w:bCs/>
          <w:color w:val="000000"/>
          <w:sz w:val="28"/>
          <w:szCs w:val="28"/>
        </w:rPr>
        <w:t xml:space="preserve"> novembre – </w:t>
      </w:r>
      <w:r w:rsidR="00287170">
        <w:rPr>
          <w:rFonts w:cs="Times New Roman"/>
          <w:b/>
          <w:bCs/>
          <w:color w:val="000000"/>
          <w:sz w:val="28"/>
          <w:szCs w:val="28"/>
        </w:rPr>
        <w:t>Médecine, armée, société</w:t>
      </w:r>
    </w:p>
    <w:p w14:paraId="4E4A7163" w14:textId="0971BBA6" w:rsidR="00287170" w:rsidRDefault="00287170" w:rsidP="00287170">
      <w:pPr>
        <w:spacing w:before="57"/>
        <w:jc w:val="both"/>
        <w:rPr>
          <w:rFonts w:cs="Times New Roman"/>
          <w:color w:val="000000"/>
        </w:rPr>
      </w:pPr>
      <w:r>
        <w:rPr>
          <w:rFonts w:ascii="Cambria" w:hAnsi="Cambria" w:cs="Times New Roman"/>
          <w:b/>
          <w:bCs/>
          <w:i/>
          <w:iCs/>
          <w:color w:val="663300"/>
          <w:sz w:val="28"/>
          <w:szCs w:val="28"/>
        </w:rPr>
        <w:t>Des hommes pour la guerre : la sélection médicale des soldats (France et Grande-Bretagne, 1900-1918)</w:t>
      </w:r>
    </w:p>
    <w:p w14:paraId="76D392C5" w14:textId="0AEBA62F" w:rsidR="00442BD3" w:rsidRPr="00F404CC" w:rsidRDefault="007A5E29">
      <w:pPr>
        <w:spacing w:before="60"/>
        <w:jc w:val="both"/>
        <w:rPr>
          <w:sz w:val="26"/>
          <w:szCs w:val="26"/>
        </w:rPr>
      </w:pPr>
      <w:r w:rsidRPr="00F404CC">
        <w:rPr>
          <w:rFonts w:cs="Times New Roman"/>
          <w:color w:val="000000"/>
          <w:sz w:val="26"/>
          <w:szCs w:val="26"/>
        </w:rPr>
        <w:t xml:space="preserve">Aude-Marie Lalanne </w:t>
      </w:r>
      <w:proofErr w:type="spellStart"/>
      <w:r w:rsidRPr="00F404CC">
        <w:rPr>
          <w:rFonts w:cs="Times New Roman"/>
          <w:color w:val="000000"/>
          <w:sz w:val="26"/>
          <w:szCs w:val="26"/>
        </w:rPr>
        <w:t>Bertoudicq</w:t>
      </w:r>
      <w:proofErr w:type="spellEnd"/>
      <w:r w:rsidRPr="00F404CC">
        <w:rPr>
          <w:rFonts w:cs="Times New Roman"/>
          <w:color w:val="000000"/>
          <w:sz w:val="26"/>
          <w:szCs w:val="26"/>
        </w:rPr>
        <w:t xml:space="preserve"> (</w:t>
      </w:r>
      <w:r w:rsidR="00287170" w:rsidRPr="00F404CC">
        <w:rPr>
          <w:rFonts w:cs="Times New Roman"/>
          <w:color w:val="000000"/>
          <w:sz w:val="26"/>
          <w:szCs w:val="26"/>
        </w:rPr>
        <w:t xml:space="preserve">MCF à </w:t>
      </w:r>
      <w:r w:rsidRPr="00F404CC">
        <w:rPr>
          <w:rFonts w:cs="Times New Roman"/>
          <w:color w:val="000000"/>
          <w:sz w:val="26"/>
          <w:szCs w:val="26"/>
        </w:rPr>
        <w:t>Sorbonne-Université, SIRICE)</w:t>
      </w:r>
    </w:p>
    <w:p w14:paraId="2DB285E1" w14:textId="77777777" w:rsidR="00442BD3" w:rsidRDefault="00442BD3">
      <w:pPr>
        <w:spacing w:before="57"/>
        <w:jc w:val="both"/>
        <w:rPr>
          <w:color w:val="000000"/>
        </w:rPr>
      </w:pPr>
    </w:p>
    <w:p w14:paraId="5D114524" w14:textId="77777777" w:rsidR="00287170" w:rsidRDefault="00CC3123" w:rsidP="000D3135">
      <w:pPr>
        <w:pStyle w:val="Corpsdetexte"/>
        <w:spacing w:before="57" w:after="0"/>
        <w:rPr>
          <w:rFonts w:cs="Times New Roman"/>
          <w:b/>
          <w:bCs/>
          <w:color w:val="000000"/>
          <w:sz w:val="28"/>
          <w:szCs w:val="28"/>
        </w:rPr>
      </w:pPr>
      <w:r>
        <w:rPr>
          <w:rFonts w:cs="Times New Roman"/>
          <w:b/>
          <w:bCs/>
          <w:color w:val="000000"/>
          <w:sz w:val="28"/>
          <w:szCs w:val="28"/>
        </w:rPr>
        <w:t>25</w:t>
      </w:r>
      <w:r w:rsidR="0024177C">
        <w:rPr>
          <w:rFonts w:cs="Times New Roman"/>
          <w:b/>
          <w:bCs/>
          <w:color w:val="000000"/>
          <w:sz w:val="28"/>
          <w:szCs w:val="28"/>
        </w:rPr>
        <w:t xml:space="preserve"> novembre – </w:t>
      </w:r>
      <w:r w:rsidR="00287170">
        <w:rPr>
          <w:rFonts w:cs="Times New Roman"/>
          <w:b/>
          <w:bCs/>
          <w:color w:val="000000"/>
          <w:sz w:val="28"/>
          <w:szCs w:val="28"/>
        </w:rPr>
        <w:t xml:space="preserve">Table ronde </w:t>
      </w:r>
    </w:p>
    <w:p w14:paraId="764D9BF8" w14:textId="4C790CE9" w:rsidR="00287170" w:rsidRDefault="00287170" w:rsidP="000D3135">
      <w:pPr>
        <w:pStyle w:val="Corpsdetexte"/>
        <w:spacing w:before="57" w:after="0"/>
        <w:rPr>
          <w:rFonts w:cs="Times New Roman"/>
          <w:b/>
          <w:bCs/>
          <w:color w:val="000000"/>
          <w:sz w:val="28"/>
          <w:szCs w:val="28"/>
        </w:rPr>
      </w:pPr>
      <w:r>
        <w:rPr>
          <w:rFonts w:ascii="Cambria" w:hAnsi="Cambria" w:cs="Times New Roman"/>
          <w:b/>
          <w:bCs/>
          <w:i/>
          <w:iCs/>
          <w:color w:val="663300"/>
          <w:sz w:val="28"/>
          <w:szCs w:val="28"/>
        </w:rPr>
        <w:t>Les anarchistes face à la répression en France et en Europe (fin XIXe-début XXe)</w:t>
      </w:r>
    </w:p>
    <w:p w14:paraId="50EB1E68" w14:textId="77777777" w:rsidR="00CF00AC" w:rsidRPr="00F404CC" w:rsidRDefault="000D3135" w:rsidP="000D3135">
      <w:pPr>
        <w:pStyle w:val="Corpsdetexte"/>
        <w:spacing w:before="57" w:after="0"/>
        <w:rPr>
          <w:sz w:val="26"/>
          <w:szCs w:val="26"/>
        </w:rPr>
      </w:pPr>
      <w:r w:rsidRPr="00F404CC">
        <w:rPr>
          <w:sz w:val="26"/>
          <w:szCs w:val="26"/>
        </w:rPr>
        <w:t xml:space="preserve">Claire </w:t>
      </w:r>
      <w:proofErr w:type="spellStart"/>
      <w:r w:rsidRPr="00F404CC">
        <w:rPr>
          <w:sz w:val="26"/>
          <w:szCs w:val="26"/>
        </w:rPr>
        <w:t>Aniel-Buchheit</w:t>
      </w:r>
      <w:proofErr w:type="spellEnd"/>
      <w:r w:rsidRPr="00F404CC">
        <w:rPr>
          <w:sz w:val="26"/>
          <w:szCs w:val="26"/>
        </w:rPr>
        <w:t xml:space="preserve"> (doctorante, Sorbonne Université, Centre d’Histoire du XIXe siècle)</w:t>
      </w:r>
    </w:p>
    <w:p w14:paraId="5FE63790" w14:textId="77777777" w:rsidR="00CF00AC" w:rsidRPr="00F404CC" w:rsidRDefault="000D3135" w:rsidP="000D3135">
      <w:pPr>
        <w:pStyle w:val="Corpsdetexte"/>
        <w:spacing w:before="57" w:after="0"/>
        <w:rPr>
          <w:sz w:val="26"/>
          <w:szCs w:val="26"/>
        </w:rPr>
      </w:pPr>
      <w:r w:rsidRPr="00F404CC">
        <w:rPr>
          <w:sz w:val="26"/>
          <w:szCs w:val="26"/>
        </w:rPr>
        <w:t xml:space="preserve">Amélie Gaillat (titulaire d’un PhD, Mary </w:t>
      </w:r>
      <w:proofErr w:type="spellStart"/>
      <w:r w:rsidRPr="00F404CC">
        <w:rPr>
          <w:sz w:val="26"/>
          <w:szCs w:val="26"/>
        </w:rPr>
        <w:t>Immaculate</w:t>
      </w:r>
      <w:proofErr w:type="spellEnd"/>
      <w:r w:rsidRPr="00F404CC">
        <w:rPr>
          <w:sz w:val="26"/>
          <w:szCs w:val="26"/>
        </w:rPr>
        <w:t xml:space="preserve"> </w:t>
      </w:r>
      <w:proofErr w:type="spellStart"/>
      <w:r w:rsidRPr="00F404CC">
        <w:rPr>
          <w:sz w:val="26"/>
          <w:szCs w:val="26"/>
        </w:rPr>
        <w:t>College</w:t>
      </w:r>
      <w:proofErr w:type="spellEnd"/>
      <w:r w:rsidRPr="00F404CC">
        <w:rPr>
          <w:sz w:val="26"/>
          <w:szCs w:val="26"/>
        </w:rPr>
        <w:t>, Limerick)</w:t>
      </w:r>
    </w:p>
    <w:p w14:paraId="1B0F0688" w14:textId="13CDF96B" w:rsidR="000D3135" w:rsidRPr="00F404CC" w:rsidRDefault="000D3135" w:rsidP="000D3135">
      <w:pPr>
        <w:pStyle w:val="Corpsdetexte"/>
        <w:spacing w:before="57" w:after="0"/>
        <w:rPr>
          <w:sz w:val="26"/>
          <w:szCs w:val="26"/>
        </w:rPr>
      </w:pPr>
      <w:r w:rsidRPr="00F404CC">
        <w:rPr>
          <w:sz w:val="26"/>
          <w:szCs w:val="26"/>
        </w:rPr>
        <w:t xml:space="preserve">Léo </w:t>
      </w:r>
      <w:proofErr w:type="spellStart"/>
      <w:r w:rsidRPr="00F404CC">
        <w:rPr>
          <w:sz w:val="26"/>
          <w:szCs w:val="26"/>
        </w:rPr>
        <w:t>Laglenne</w:t>
      </w:r>
      <w:proofErr w:type="spellEnd"/>
      <w:r w:rsidRPr="00F404CC">
        <w:rPr>
          <w:sz w:val="26"/>
          <w:szCs w:val="26"/>
        </w:rPr>
        <w:t xml:space="preserve"> (doctorant, Université de Picardie Jules-Verne, CHSSC)</w:t>
      </w:r>
    </w:p>
    <w:p w14:paraId="34C6DB63" w14:textId="2A7A3DCA" w:rsidR="00442BD3" w:rsidRDefault="00442BD3">
      <w:pPr>
        <w:spacing w:before="57"/>
        <w:jc w:val="both"/>
      </w:pPr>
    </w:p>
    <w:p w14:paraId="141CA1A1" w14:textId="23AD5137" w:rsidR="00CF00AC" w:rsidRDefault="00CC3123" w:rsidP="00CF00AC">
      <w:pPr>
        <w:pStyle w:val="Corpsdetexte"/>
        <w:spacing w:before="57" w:after="0"/>
        <w:rPr>
          <w:rFonts w:cs="Times New Roman"/>
          <w:b/>
          <w:bCs/>
          <w:color w:val="000000"/>
          <w:sz w:val="28"/>
          <w:szCs w:val="28"/>
        </w:rPr>
      </w:pPr>
      <w:r>
        <w:rPr>
          <w:rFonts w:cs="Times New Roman"/>
          <w:b/>
          <w:bCs/>
          <w:color w:val="000000"/>
          <w:sz w:val="28"/>
          <w:szCs w:val="28"/>
        </w:rPr>
        <w:t>2 décembre</w:t>
      </w:r>
      <w:r w:rsidR="0024177C">
        <w:rPr>
          <w:rFonts w:cs="Times New Roman"/>
          <w:b/>
          <w:bCs/>
          <w:color w:val="000000"/>
          <w:sz w:val="28"/>
          <w:szCs w:val="28"/>
        </w:rPr>
        <w:t xml:space="preserve"> – </w:t>
      </w:r>
      <w:r w:rsidR="00CF00AC">
        <w:rPr>
          <w:rFonts w:cs="Times New Roman"/>
          <w:b/>
          <w:bCs/>
          <w:color w:val="000000"/>
          <w:sz w:val="28"/>
          <w:szCs w:val="28"/>
        </w:rPr>
        <w:t>Nouveaux regards sur le génocide</w:t>
      </w:r>
    </w:p>
    <w:p w14:paraId="5462DED9" w14:textId="6D7DEBED" w:rsidR="00CF00AC" w:rsidRDefault="00CF00AC" w:rsidP="00CF00AC">
      <w:pPr>
        <w:pStyle w:val="Corpsdetexte"/>
        <w:spacing w:before="57" w:after="0"/>
        <w:rPr>
          <w:rFonts w:ascii="Cambria" w:hAnsi="Cambria"/>
          <w:color w:val="663300"/>
          <w:sz w:val="28"/>
          <w:szCs w:val="28"/>
        </w:rPr>
      </w:pPr>
      <w:r>
        <w:rPr>
          <w:rFonts w:ascii="Cambria" w:hAnsi="Cambria" w:cs="TimesNewRomanPS"/>
          <w:b/>
          <w:bCs/>
          <w:i/>
          <w:iCs/>
          <w:color w:val="663300"/>
          <w:sz w:val="28"/>
          <w:szCs w:val="28"/>
          <w:shd w:val="clear" w:color="auto" w:fill="FFFFFF"/>
        </w:rPr>
        <w:t>Qui a arrêté les 75.000 déportés juifs de France ? Où, quand, comment ?</w:t>
      </w:r>
    </w:p>
    <w:p w14:paraId="6A7359DE" w14:textId="6BAA6DD1" w:rsidR="00442BD3" w:rsidRPr="00F404CC" w:rsidRDefault="007A5E29">
      <w:pPr>
        <w:spacing w:before="60"/>
        <w:rPr>
          <w:sz w:val="26"/>
          <w:szCs w:val="26"/>
        </w:rPr>
      </w:pPr>
      <w:r w:rsidRPr="00F404CC">
        <w:rPr>
          <w:rFonts w:cs="Times New Roman"/>
          <w:color w:val="000000"/>
          <w:sz w:val="26"/>
          <w:szCs w:val="26"/>
        </w:rPr>
        <w:t xml:space="preserve">Alexandre </w:t>
      </w:r>
      <w:proofErr w:type="spellStart"/>
      <w:r w:rsidRPr="00F404CC">
        <w:rPr>
          <w:rFonts w:cs="Times New Roman"/>
          <w:color w:val="000000"/>
          <w:sz w:val="26"/>
          <w:szCs w:val="26"/>
        </w:rPr>
        <w:t>Doulut</w:t>
      </w:r>
      <w:proofErr w:type="spellEnd"/>
      <w:r w:rsidR="00CF00AC" w:rsidRPr="00F404CC">
        <w:rPr>
          <w:rFonts w:cs="Times New Roman"/>
          <w:color w:val="000000"/>
          <w:sz w:val="26"/>
          <w:szCs w:val="26"/>
        </w:rPr>
        <w:t xml:space="preserve"> (docteur, Mémorial de la Shoah)</w:t>
      </w:r>
    </w:p>
    <w:p w14:paraId="664B96ED" w14:textId="77777777" w:rsidR="00442BD3" w:rsidRDefault="00442BD3">
      <w:pPr>
        <w:spacing w:before="57"/>
        <w:jc w:val="both"/>
        <w:rPr>
          <w:rFonts w:cs="Times New Roman"/>
          <w:color w:val="000000"/>
          <w:sz w:val="22"/>
          <w:szCs w:val="22"/>
        </w:rPr>
      </w:pPr>
    </w:p>
    <w:p w14:paraId="7CE9F6E8" w14:textId="753DA3D9" w:rsidR="00442BD3" w:rsidRDefault="00CC3123">
      <w:pPr>
        <w:spacing w:before="57"/>
        <w:jc w:val="both"/>
      </w:pPr>
      <w:r>
        <w:rPr>
          <w:rFonts w:cs="Times New Roman"/>
          <w:b/>
          <w:bCs/>
          <w:color w:val="000000"/>
          <w:spacing w:val="-8"/>
          <w:sz w:val="28"/>
          <w:szCs w:val="28"/>
        </w:rPr>
        <w:t>9</w:t>
      </w:r>
      <w:r w:rsidR="0024177C">
        <w:rPr>
          <w:rFonts w:cs="Times New Roman"/>
          <w:b/>
          <w:bCs/>
          <w:color w:val="000000"/>
          <w:spacing w:val="-8"/>
          <w:sz w:val="28"/>
          <w:szCs w:val="28"/>
        </w:rPr>
        <w:t xml:space="preserve"> décembre –</w:t>
      </w:r>
      <w:r w:rsidR="00013C23">
        <w:rPr>
          <w:rFonts w:cs="Times New Roman"/>
          <w:b/>
          <w:bCs/>
          <w:color w:val="000000"/>
          <w:spacing w:val="-8"/>
          <w:sz w:val="28"/>
          <w:szCs w:val="28"/>
        </w:rPr>
        <w:t xml:space="preserve"> </w:t>
      </w:r>
      <w:r w:rsidR="00F404CC">
        <w:rPr>
          <w:rFonts w:cs="Times New Roman"/>
          <w:b/>
          <w:bCs/>
          <w:color w:val="000000"/>
          <w:spacing w:val="-8"/>
          <w:sz w:val="28"/>
          <w:szCs w:val="28"/>
        </w:rPr>
        <w:t>Mutations du contrôle social</w:t>
      </w:r>
    </w:p>
    <w:p w14:paraId="36B2294E" w14:textId="44FDCD24" w:rsidR="00442BD3" w:rsidRDefault="00F404CC">
      <w:pPr>
        <w:spacing w:before="57"/>
        <w:jc w:val="both"/>
        <w:rPr>
          <w:rFonts w:ascii="Cambria" w:hAnsi="Cambria"/>
          <w:color w:val="663300"/>
          <w:sz w:val="28"/>
          <w:szCs w:val="28"/>
        </w:rPr>
      </w:pPr>
      <w:r>
        <w:rPr>
          <w:rFonts w:ascii="Cambria" w:hAnsi="Cambria" w:cs="Times New Roman"/>
          <w:b/>
          <w:bCs/>
          <w:i/>
          <w:iCs/>
          <w:color w:val="663300"/>
          <w:spacing w:val="-8"/>
          <w:sz w:val="28"/>
          <w:szCs w:val="28"/>
        </w:rPr>
        <w:t>Réprimer et réparer, l’histoire effacée de l’homosexualité</w:t>
      </w:r>
    </w:p>
    <w:p w14:paraId="6BE754F3" w14:textId="7318D23F" w:rsidR="00442BD3" w:rsidRPr="00F404CC" w:rsidRDefault="00F404CC">
      <w:pPr>
        <w:spacing w:before="60"/>
        <w:jc w:val="both"/>
        <w:rPr>
          <w:sz w:val="26"/>
          <w:szCs w:val="26"/>
        </w:rPr>
      </w:pPr>
      <w:r w:rsidRPr="00F404CC">
        <w:rPr>
          <w:rFonts w:cs="Times New Roman"/>
          <w:color w:val="000000"/>
          <w:spacing w:val="-8"/>
          <w:sz w:val="26"/>
          <w:szCs w:val="26"/>
        </w:rPr>
        <w:t xml:space="preserve">Antoine </w:t>
      </w:r>
      <w:proofErr w:type="spellStart"/>
      <w:r w:rsidRPr="00F404CC">
        <w:rPr>
          <w:rFonts w:cs="Times New Roman"/>
          <w:color w:val="000000"/>
          <w:spacing w:val="-8"/>
          <w:sz w:val="26"/>
          <w:szCs w:val="26"/>
        </w:rPr>
        <w:t>Idier</w:t>
      </w:r>
      <w:proofErr w:type="spellEnd"/>
      <w:r w:rsidRPr="00F404CC">
        <w:rPr>
          <w:rFonts w:cs="Times New Roman"/>
          <w:color w:val="000000"/>
          <w:spacing w:val="-8"/>
          <w:sz w:val="26"/>
          <w:szCs w:val="26"/>
        </w:rPr>
        <w:t xml:space="preserve"> (MCF, Sciences Po Saint-Germain en Laye)</w:t>
      </w:r>
    </w:p>
    <w:p w14:paraId="729445BB" w14:textId="77777777" w:rsidR="00220851" w:rsidRDefault="00220851">
      <w:pPr>
        <w:spacing w:before="57"/>
        <w:jc w:val="both"/>
        <w:rPr>
          <w:rFonts w:cs="Times New Roman"/>
          <w:b/>
          <w:bCs/>
          <w:color w:val="000000"/>
          <w:spacing w:val="-8"/>
          <w:sz w:val="28"/>
          <w:szCs w:val="28"/>
        </w:rPr>
      </w:pPr>
    </w:p>
    <w:p w14:paraId="4997D432" w14:textId="217BCFDE" w:rsidR="00A7163C" w:rsidRDefault="00000000" w:rsidP="00A7163C">
      <w:pPr>
        <w:spacing w:before="57"/>
        <w:jc w:val="both"/>
      </w:pPr>
      <w:r>
        <w:rPr>
          <w:rFonts w:cs="Times New Roman"/>
          <w:b/>
          <w:bCs/>
          <w:color w:val="000000"/>
          <w:spacing w:val="-8"/>
          <w:sz w:val="28"/>
          <w:szCs w:val="28"/>
        </w:rPr>
        <w:t>1</w:t>
      </w:r>
      <w:r w:rsidR="00CC3123">
        <w:rPr>
          <w:rFonts w:cs="Times New Roman"/>
          <w:b/>
          <w:bCs/>
          <w:color w:val="000000"/>
          <w:spacing w:val="-8"/>
          <w:sz w:val="28"/>
          <w:szCs w:val="28"/>
        </w:rPr>
        <w:t>6</w:t>
      </w:r>
      <w:r>
        <w:rPr>
          <w:rFonts w:cs="Times New Roman"/>
          <w:b/>
          <w:bCs/>
          <w:color w:val="000000"/>
          <w:spacing w:val="-8"/>
          <w:sz w:val="28"/>
          <w:szCs w:val="28"/>
        </w:rPr>
        <w:t xml:space="preserve"> décembre </w:t>
      </w:r>
      <w:r w:rsidR="00A7163C">
        <w:rPr>
          <w:rFonts w:cs="Times New Roman"/>
          <w:b/>
          <w:bCs/>
          <w:color w:val="000000"/>
          <w:spacing w:val="-8"/>
          <w:sz w:val="28"/>
          <w:szCs w:val="28"/>
        </w:rPr>
        <w:t>–</w:t>
      </w:r>
      <w:r w:rsidR="00220851">
        <w:rPr>
          <w:rFonts w:cs="Times New Roman"/>
          <w:b/>
          <w:bCs/>
          <w:color w:val="000000"/>
          <w:spacing w:val="-8"/>
          <w:sz w:val="28"/>
          <w:szCs w:val="28"/>
        </w:rPr>
        <w:t xml:space="preserve"> </w:t>
      </w:r>
      <w:r w:rsidR="00F404CC">
        <w:rPr>
          <w:rFonts w:cs="Times New Roman"/>
          <w:b/>
          <w:bCs/>
          <w:color w:val="000000"/>
          <w:sz w:val="28"/>
          <w:szCs w:val="28"/>
        </w:rPr>
        <w:t>Méthodologie du mémoire : point d’étape</w:t>
      </w:r>
    </w:p>
    <w:p w14:paraId="76878F78" w14:textId="77777777" w:rsidR="00A7163C" w:rsidRDefault="00A7163C">
      <w:pPr>
        <w:spacing w:before="57"/>
        <w:jc w:val="both"/>
        <w:rPr>
          <w:rFonts w:cs="Times New Roman"/>
          <w:b/>
          <w:bCs/>
          <w:color w:val="000000"/>
          <w:spacing w:val="-8"/>
          <w:sz w:val="28"/>
          <w:szCs w:val="28"/>
        </w:rPr>
      </w:pPr>
    </w:p>
    <w:p w14:paraId="7A3ABA49" w14:textId="77777777" w:rsidR="00442BD3" w:rsidRDefault="00442BD3">
      <w:pPr>
        <w:spacing w:before="60"/>
        <w:jc w:val="both"/>
        <w:rPr>
          <w:rFonts w:cs="Times New Roman"/>
          <w:color w:val="000000"/>
          <w:spacing w:val="-8"/>
          <w:sz w:val="28"/>
          <w:szCs w:val="28"/>
        </w:rPr>
      </w:pPr>
    </w:p>
    <w:sectPr w:rsidR="00442BD3">
      <w:headerReference w:type="even" r:id="rId10"/>
      <w:headerReference w:type="default" r:id="rId11"/>
      <w:footerReference w:type="even" r:id="rId12"/>
      <w:footerReference w:type="default" r:id="rId13"/>
      <w:headerReference w:type="first" r:id="rId14"/>
      <w:footerReference w:type="first" r:id="rId15"/>
      <w:pgSz w:w="11906" w:h="16838"/>
      <w:pgMar w:top="907" w:right="964" w:bottom="851" w:left="96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1E3F" w14:textId="77777777" w:rsidR="00224721" w:rsidRDefault="00224721" w:rsidP="0024177C">
      <w:r>
        <w:separator/>
      </w:r>
    </w:p>
  </w:endnote>
  <w:endnote w:type="continuationSeparator" w:id="0">
    <w:p w14:paraId="339F69AA" w14:textId="77777777" w:rsidR="00224721" w:rsidRDefault="00224721" w:rsidP="0024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D239" w14:textId="77777777" w:rsidR="0024177C" w:rsidRDefault="002417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74C" w14:textId="77777777" w:rsidR="0024177C" w:rsidRDefault="0024177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BAC9" w14:textId="77777777" w:rsidR="0024177C" w:rsidRDefault="002417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962D" w14:textId="77777777" w:rsidR="00224721" w:rsidRDefault="00224721" w:rsidP="0024177C">
      <w:r>
        <w:separator/>
      </w:r>
    </w:p>
  </w:footnote>
  <w:footnote w:type="continuationSeparator" w:id="0">
    <w:p w14:paraId="6A6CF062" w14:textId="77777777" w:rsidR="00224721" w:rsidRDefault="00224721" w:rsidP="0024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520" w14:textId="77777777" w:rsidR="0024177C" w:rsidRDefault="002417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0537" w14:textId="77777777" w:rsidR="0024177C" w:rsidRDefault="002417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319B" w14:textId="77777777" w:rsidR="0024177C" w:rsidRDefault="002417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displayBackgroundShape/>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D3"/>
    <w:rsid w:val="00013C23"/>
    <w:rsid w:val="0002286C"/>
    <w:rsid w:val="0006628A"/>
    <w:rsid w:val="0007769B"/>
    <w:rsid w:val="000A35FD"/>
    <w:rsid w:val="000B77B8"/>
    <w:rsid w:val="000C6E11"/>
    <w:rsid w:val="000D3135"/>
    <w:rsid w:val="00111A48"/>
    <w:rsid w:val="001412E2"/>
    <w:rsid w:val="00150622"/>
    <w:rsid w:val="00186A72"/>
    <w:rsid w:val="001D7278"/>
    <w:rsid w:val="001F71E3"/>
    <w:rsid w:val="00211E73"/>
    <w:rsid w:val="00220851"/>
    <w:rsid w:val="00224721"/>
    <w:rsid w:val="002276DE"/>
    <w:rsid w:val="00236005"/>
    <w:rsid w:val="0024177C"/>
    <w:rsid w:val="00282B2F"/>
    <w:rsid w:val="00287170"/>
    <w:rsid w:val="002B5555"/>
    <w:rsid w:val="00372358"/>
    <w:rsid w:val="00374D9F"/>
    <w:rsid w:val="003B0214"/>
    <w:rsid w:val="003D438D"/>
    <w:rsid w:val="00442BD3"/>
    <w:rsid w:val="00472C66"/>
    <w:rsid w:val="004B2C8C"/>
    <w:rsid w:val="004C5969"/>
    <w:rsid w:val="004E589F"/>
    <w:rsid w:val="004E5BCA"/>
    <w:rsid w:val="0050028B"/>
    <w:rsid w:val="005461B0"/>
    <w:rsid w:val="00573179"/>
    <w:rsid w:val="0057336C"/>
    <w:rsid w:val="005E38EB"/>
    <w:rsid w:val="006B3D2A"/>
    <w:rsid w:val="0078253E"/>
    <w:rsid w:val="00792454"/>
    <w:rsid w:val="007A5E29"/>
    <w:rsid w:val="0081677F"/>
    <w:rsid w:val="0086339F"/>
    <w:rsid w:val="00882C92"/>
    <w:rsid w:val="008A5F17"/>
    <w:rsid w:val="008D1924"/>
    <w:rsid w:val="00935C80"/>
    <w:rsid w:val="00965D72"/>
    <w:rsid w:val="00A25720"/>
    <w:rsid w:val="00A64426"/>
    <w:rsid w:val="00A7163C"/>
    <w:rsid w:val="00A82EE2"/>
    <w:rsid w:val="00A910DA"/>
    <w:rsid w:val="00AC1BAC"/>
    <w:rsid w:val="00AE6DC8"/>
    <w:rsid w:val="00B15851"/>
    <w:rsid w:val="00B44B15"/>
    <w:rsid w:val="00B801CF"/>
    <w:rsid w:val="00B85877"/>
    <w:rsid w:val="00C07030"/>
    <w:rsid w:val="00C66506"/>
    <w:rsid w:val="00C76C01"/>
    <w:rsid w:val="00CC3123"/>
    <w:rsid w:val="00CE091F"/>
    <w:rsid w:val="00CF00AC"/>
    <w:rsid w:val="00D24556"/>
    <w:rsid w:val="00DA15AC"/>
    <w:rsid w:val="00DC40AA"/>
    <w:rsid w:val="00E5588D"/>
    <w:rsid w:val="00E56340"/>
    <w:rsid w:val="00E66880"/>
    <w:rsid w:val="00E73BBF"/>
    <w:rsid w:val="00EC5AC7"/>
    <w:rsid w:val="00F404CC"/>
    <w:rsid w:val="00F5402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C9CD"/>
  <w15:docId w15:val="{88AC4DB5-A098-3546-8FE1-2DE32CEA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Arial Unicode MS" w:cs="Arial Unicode MS"/>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styleId="Lienhypertexte">
    <w:name w:val="Hyperlink"/>
    <w:rPr>
      <w:color w:val="0000FF"/>
      <w:u w:val="single"/>
    </w:rPr>
  </w:style>
  <w:style w:type="character" w:styleId="Lienhypertextesuivivisit">
    <w:name w:val="FollowedHyperlink"/>
    <w:rPr>
      <w:color w:val="800000"/>
      <w:u w:val="single"/>
    </w:rPr>
  </w:style>
  <w:style w:type="character" w:customStyle="1" w:styleId="Caractresdenotedebasdepage">
    <w:name w:val="Caractères de note de bas de page"/>
    <w:qFormat/>
    <w:rPr>
      <w:vertAlign w:val="superscript"/>
    </w:rPr>
  </w:style>
  <w:style w:type="character" w:customStyle="1" w:styleId="WW-Caractresdenotedebasdepage">
    <w:name w:val="WW-Caractères de note de bas de page"/>
    <w:qFormat/>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Appelnotedebasdep1">
    <w:name w:val="Appel note de bas de p.1"/>
    <w:qFormat/>
    <w:rPr>
      <w:vertAlign w:val="superscript"/>
    </w:rPr>
  </w:style>
  <w:style w:type="character" w:customStyle="1" w:styleId="Appeldenotedefin1">
    <w:name w:val="Appel de note de fin1"/>
    <w:qFormat/>
    <w:rPr>
      <w:vertAlign w:val="superscript"/>
    </w:rPr>
  </w:style>
  <w:style w:type="character" w:customStyle="1" w:styleId="Sous-titreCar">
    <w:name w:val="Sous-titre Car"/>
    <w:qFormat/>
    <w:rPr>
      <w:rFonts w:ascii="Calibri Light" w:eastAsia="Times New Roman" w:hAnsi="Calibri Light" w:cs="Mangal"/>
      <w:kern w:val="2"/>
      <w:sz w:val="24"/>
      <w:szCs w:val="21"/>
      <w:lang w:bidi="hi-IN"/>
    </w:rPr>
  </w:style>
  <w:style w:type="character" w:styleId="Accentuationlgre">
    <w:name w:val="Subtle Emphasis"/>
    <w:qFormat/>
    <w:rPr>
      <w:i/>
      <w:iCs/>
      <w:color w:val="404040"/>
    </w:rPr>
  </w:style>
  <w:style w:type="character" w:styleId="Mentionnonrsolue">
    <w:name w:val="Unresolved Mention"/>
    <w:qFormat/>
    <w:rPr>
      <w:color w:val="605E5C"/>
      <w:shd w:val="clear" w:color="auto" w:fill="E1DFDD"/>
    </w:rPr>
  </w:style>
  <w:style w:type="character" w:customStyle="1" w:styleId="Appeldenote">
    <w:name w:val="Appel de note"/>
    <w:qFormat/>
    <w:rPr>
      <w:vertAlign w:val="superscript"/>
    </w:rPr>
  </w:style>
  <w:style w:type="paragraph" w:styleId="Titre">
    <w:name w:val="Title"/>
    <w:basedOn w:val="Normal"/>
    <w:next w:val="Corpsdetexte"/>
    <w:qFormat/>
    <w:pPr>
      <w:keepNext/>
      <w:spacing w:before="240" w:after="120"/>
    </w:pPr>
    <w:rPr>
      <w:rFonts w:ascii="Liberation Sans" w:eastAsia="PingFang SC"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2">
    <w:name w:val="Titre2"/>
    <w:basedOn w:val="Normal"/>
    <w:next w:val="Corpsdetexte"/>
    <w:qFormat/>
    <w:pPr>
      <w:keepNext/>
      <w:spacing w:before="240" w:after="120"/>
    </w:pPr>
    <w:rPr>
      <w:rFonts w:ascii="Arial" w:hAnsi="Arial"/>
      <w:sz w:val="28"/>
      <w:szCs w:val="28"/>
    </w:rPr>
  </w:style>
  <w:style w:type="paragraph" w:customStyle="1" w:styleId="Titre1">
    <w:name w:val="Titre1"/>
    <w:basedOn w:val="Normal"/>
    <w:next w:val="Corpsdetexte"/>
    <w:qFormat/>
    <w:pPr>
      <w:keepNext/>
      <w:spacing w:before="240" w:after="120"/>
    </w:pPr>
    <w:rPr>
      <w:rFonts w:ascii="Arial" w:hAnsi="Arial"/>
      <w:sz w:val="28"/>
      <w:szCs w:val="28"/>
    </w:rPr>
  </w:style>
  <w:style w:type="paragraph" w:customStyle="1" w:styleId="Lgende1">
    <w:name w:val="Légende1"/>
    <w:basedOn w:val="Normal"/>
    <w:qFormat/>
    <w:pPr>
      <w:suppressLineNumbers/>
      <w:spacing w:before="120" w:after="120"/>
    </w:pPr>
    <w:rPr>
      <w:i/>
      <w:iCs/>
    </w:rPr>
  </w:style>
  <w:style w:type="paragraph" w:styleId="Notedebasdepage">
    <w:name w:val="footnote text"/>
    <w:basedOn w:val="Normal"/>
    <w:pPr>
      <w:suppressLineNumbers/>
      <w:ind w:left="283" w:hanging="283"/>
    </w:pPr>
    <w:rPr>
      <w:sz w:val="20"/>
      <w:szCs w:val="20"/>
    </w:rPr>
  </w:style>
  <w:style w:type="paragraph" w:styleId="Citation">
    <w:name w:val="Quote"/>
    <w:basedOn w:val="Normal"/>
    <w:qFormat/>
    <w:pPr>
      <w:spacing w:after="283"/>
      <w:ind w:left="567" w:right="567"/>
    </w:pPr>
  </w:style>
  <w:style w:type="paragraph" w:styleId="Sous-titre">
    <w:name w:val="Subtitle"/>
    <w:basedOn w:val="Normal"/>
    <w:next w:val="Normal"/>
    <w:qFormat/>
    <w:pPr>
      <w:spacing w:after="60"/>
      <w:jc w:val="center"/>
    </w:pPr>
    <w:rPr>
      <w:rFonts w:ascii="Calibri Light" w:eastAsia="Times New Roman" w:hAnsi="Calibri Light" w:cs="Mangal"/>
      <w:szCs w:val="21"/>
    </w:rPr>
  </w:style>
  <w:style w:type="paragraph" w:styleId="En-tte">
    <w:name w:val="header"/>
    <w:basedOn w:val="Normal"/>
    <w:link w:val="En-tteCar"/>
    <w:uiPriority w:val="99"/>
    <w:unhideWhenUsed/>
    <w:rsid w:val="0024177C"/>
    <w:pPr>
      <w:tabs>
        <w:tab w:val="center" w:pos="4536"/>
        <w:tab w:val="right" w:pos="9072"/>
      </w:tabs>
    </w:pPr>
    <w:rPr>
      <w:rFonts w:cs="Mangal"/>
      <w:szCs w:val="21"/>
    </w:rPr>
  </w:style>
  <w:style w:type="character" w:customStyle="1" w:styleId="En-tteCar">
    <w:name w:val="En-tête Car"/>
    <w:basedOn w:val="Policepardfaut"/>
    <w:link w:val="En-tte"/>
    <w:uiPriority w:val="99"/>
    <w:rsid w:val="0024177C"/>
    <w:rPr>
      <w:rFonts w:eastAsia="Arial Unicode MS" w:cs="Mangal"/>
      <w:kern w:val="2"/>
      <w:sz w:val="24"/>
      <w:szCs w:val="21"/>
      <w:lang w:eastAsia="zh-CN" w:bidi="hi-IN"/>
    </w:rPr>
  </w:style>
  <w:style w:type="paragraph" w:styleId="Pieddepage">
    <w:name w:val="footer"/>
    <w:basedOn w:val="Normal"/>
    <w:link w:val="PieddepageCar"/>
    <w:uiPriority w:val="99"/>
    <w:unhideWhenUsed/>
    <w:rsid w:val="0024177C"/>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4177C"/>
    <w:rPr>
      <w:rFonts w:eastAsia="Arial Unicode MS"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rnaud.houte@sorbonne-universit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575</Words>
  <Characters>3164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houte</dc:creator>
  <dc:description/>
  <cp:lastModifiedBy>Arnaud Houte</cp:lastModifiedBy>
  <cp:revision>32</cp:revision>
  <cp:lastPrinted>1899-12-31T23:50:39Z</cp:lastPrinted>
  <dcterms:created xsi:type="dcterms:W3CDTF">2023-09-11T07:04:00Z</dcterms:created>
  <dcterms:modified xsi:type="dcterms:W3CDTF">2025-09-08T10:43:00Z</dcterms:modified>
  <dc:language>fr-FR</dc:language>
</cp:coreProperties>
</file>