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Journée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centenaire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Société</w:t>
      </w:r>
      <w:r>
        <w:rPr>
          <w:spacing w:val="-117"/>
        </w:rPr>
        <w:t> </w:t>
      </w:r>
      <w:r>
        <w:rPr/>
        <w:t>d'Histoire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Révolution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1848</w:t>
      </w:r>
    </w:p>
    <w:p>
      <w:pPr>
        <w:pStyle w:val="BodyText"/>
        <w:rPr>
          <w:b/>
          <w:sz w:val="52"/>
        </w:rPr>
      </w:pPr>
    </w:p>
    <w:p>
      <w:pPr>
        <w:pStyle w:val="BodyText"/>
        <w:spacing w:before="4"/>
        <w:rPr>
          <w:b/>
          <w:sz w:val="70"/>
        </w:rPr>
      </w:pPr>
    </w:p>
    <w:p>
      <w:pPr>
        <w:pStyle w:val="BodyText"/>
        <w:ind w:left="116" w:right="86"/>
      </w:pPr>
      <w:r>
        <w:rPr/>
        <w:t>Journée du centenaire de la Société d'Histoire de la Révolution de1848 et des révolutions du</w:t>
      </w:r>
      <w:r>
        <w:rPr>
          <w:spacing w:val="1"/>
        </w:rPr>
        <w:t> </w:t>
      </w:r>
      <w:r>
        <w:rPr/>
        <w:t>XIXe siècle (1904-2004) Organisée par la Société d'Histoire de la Révolution de 1848 Samedi</w:t>
      </w:r>
      <w:r>
        <w:rPr>
          <w:spacing w:val="-57"/>
        </w:rPr>
        <w:t> </w:t>
      </w:r>
      <w:r>
        <w:rPr/>
        <w:t>23</w:t>
      </w:r>
      <w:r>
        <w:rPr>
          <w:spacing w:val="-1"/>
        </w:rPr>
        <w:t> </w:t>
      </w:r>
      <w:r>
        <w:rPr/>
        <w:t>octobre</w:t>
      </w:r>
      <w:r>
        <w:rPr>
          <w:spacing w:val="-2"/>
        </w:rPr>
        <w:t> </w:t>
      </w:r>
      <w:r>
        <w:rPr/>
        <w:t>2004, Amphithéâtre</w:t>
      </w:r>
      <w:r>
        <w:rPr>
          <w:spacing w:val="-2"/>
        </w:rPr>
        <w:t> </w:t>
      </w:r>
      <w:r>
        <w:rPr/>
        <w:t>Richelieu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16"/>
      </w:pPr>
      <w:r>
        <w:rPr/>
        <w:t>Jean-Claude</w:t>
      </w:r>
      <w:r>
        <w:rPr>
          <w:spacing w:val="-4"/>
        </w:rPr>
        <w:t> </w:t>
      </w:r>
      <w:r>
        <w:rPr/>
        <w:t>Caron,</w:t>
      </w:r>
      <w:r>
        <w:rPr>
          <w:spacing w:val="-1"/>
        </w:rPr>
        <w:t> </w:t>
      </w:r>
      <w:r>
        <w:rPr/>
        <w:t>président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Société, allocution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bienvenue.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173" w:after="0"/>
        <w:ind w:left="329" w:right="0" w:hanging="214"/>
        <w:jc w:val="left"/>
        <w:rPr>
          <w:sz w:val="24"/>
        </w:rPr>
      </w:pPr>
      <w:r>
        <w:rPr>
          <w:b/>
          <w:sz w:val="24"/>
        </w:rPr>
        <w:t>MOMENTS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sous la</w:t>
      </w:r>
      <w:r>
        <w:rPr>
          <w:spacing w:val="-2"/>
          <w:sz w:val="24"/>
        </w:rPr>
        <w:t> </w:t>
      </w:r>
      <w:r>
        <w:rPr>
          <w:sz w:val="24"/>
        </w:rPr>
        <w:t>présidence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Dominique Kalifa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116" w:right="96"/>
      </w:pPr>
      <w:r>
        <w:rPr/>
        <w:t>Gilles Candar, « L'esprit démocratique et la naissance de la Société d'histoire de la Révolution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1848</w:t>
      </w:r>
      <w:r>
        <w:rPr>
          <w:spacing w:val="4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116" w:right="193"/>
      </w:pPr>
      <w:r>
        <w:rPr/>
        <w:t>Thomas Snegaroff, « D'un centenaire à l'autre : la Société d'histoire de la Révolution de 1848</w:t>
      </w:r>
      <w:r>
        <w:rPr>
          <w:spacing w:val="-57"/>
        </w:rPr>
        <w:t> </w:t>
      </w:r>
      <w:r>
        <w:rPr/>
        <w:t>et le</w:t>
      </w:r>
      <w:r>
        <w:rPr>
          <w:spacing w:val="-1"/>
        </w:rPr>
        <w:t> </w:t>
      </w:r>
      <w:r>
        <w:rPr/>
        <w:t>centenaire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Révolution de 1848</w:t>
      </w:r>
      <w:r>
        <w:rPr>
          <w:spacing w:val="6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74" w:after="0"/>
        <w:ind w:left="423" w:right="0" w:hanging="308"/>
        <w:jc w:val="left"/>
        <w:rPr>
          <w:sz w:val="24"/>
        </w:rPr>
      </w:pPr>
      <w:r>
        <w:rPr>
          <w:b/>
          <w:sz w:val="24"/>
        </w:rPr>
        <w:t>TEMOIGNAGES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sous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présidence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Jean-Luc</w:t>
      </w:r>
      <w:r>
        <w:rPr>
          <w:spacing w:val="-2"/>
          <w:sz w:val="24"/>
        </w:rPr>
        <w:t> </w:t>
      </w:r>
      <w:r>
        <w:rPr>
          <w:sz w:val="24"/>
        </w:rPr>
        <w:t>Mayaud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</w:pPr>
    </w:p>
    <w:p>
      <w:pPr>
        <w:pStyle w:val="BodyText"/>
        <w:spacing w:before="90"/>
        <w:ind w:left="116"/>
      </w:pPr>
      <w:r>
        <w:rPr/>
        <w:t>Maurice</w:t>
      </w:r>
      <w:r>
        <w:rPr>
          <w:spacing w:val="-3"/>
        </w:rPr>
        <w:t> </w:t>
      </w:r>
      <w:r>
        <w:rPr/>
        <w:t>Agulhon,</w:t>
      </w:r>
      <w:r>
        <w:rPr>
          <w:spacing w:val="4"/>
        </w:rPr>
        <w:t> </w:t>
      </w:r>
      <w:r>
        <w:rPr/>
        <w:t>«</w:t>
      </w:r>
      <w:r>
        <w:rPr>
          <w:spacing w:val="-3"/>
        </w:rPr>
        <w:t> </w:t>
      </w:r>
      <w:r>
        <w:rPr/>
        <w:t>Le rétablissement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huit</w:t>
      </w:r>
      <w:r>
        <w:rPr>
          <w:spacing w:val="-1"/>
        </w:rPr>
        <w:t> </w:t>
      </w:r>
      <w:r>
        <w:rPr/>
        <w:t>années</w:t>
      </w:r>
      <w:r>
        <w:rPr>
          <w:spacing w:val="-1"/>
        </w:rPr>
        <w:t> </w:t>
      </w:r>
      <w:r>
        <w:rPr/>
        <w:t>d'expériences,</w:t>
      </w:r>
      <w:r>
        <w:rPr>
          <w:spacing w:val="-1"/>
        </w:rPr>
        <w:t> </w:t>
      </w:r>
      <w:r>
        <w:rPr/>
        <w:t>1974-1982</w:t>
      </w:r>
      <w:r>
        <w:rPr>
          <w:spacing w:val="4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116" w:right="943"/>
      </w:pPr>
      <w:r>
        <w:rPr/>
        <w:t>Jean-Claude Caron, Alain Faure, Jean-Yves Mollier, « La Société de 1848 pendant la</w:t>
      </w:r>
      <w:r>
        <w:rPr>
          <w:spacing w:val="-57"/>
        </w:rPr>
        <w:t> </w:t>
      </w:r>
      <w:r>
        <w:rPr/>
        <w:t>présidence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Philippe Vigier, 1982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1990</w:t>
      </w:r>
      <w:r>
        <w:rPr>
          <w:spacing w:val="5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173" w:after="0"/>
        <w:ind w:left="516" w:right="0" w:hanging="401"/>
        <w:jc w:val="left"/>
        <w:rPr>
          <w:sz w:val="24"/>
        </w:rPr>
      </w:pPr>
      <w:r>
        <w:rPr>
          <w:b/>
          <w:sz w:val="24"/>
        </w:rPr>
        <w:t>AXES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sous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présidence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Jean-Noël</w:t>
      </w:r>
      <w:r>
        <w:rPr>
          <w:spacing w:val="1"/>
          <w:sz w:val="24"/>
        </w:rPr>
        <w:t> </w:t>
      </w:r>
      <w:r>
        <w:rPr>
          <w:sz w:val="24"/>
        </w:rPr>
        <w:t>Luc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116" w:right="659"/>
      </w:pPr>
      <w:r>
        <w:rPr/>
        <w:t>Raymond Huard, « Un siècle de publications de la Société d'histoire de la Révolution de</w:t>
      </w:r>
      <w:r>
        <w:rPr>
          <w:spacing w:val="-57"/>
        </w:rPr>
        <w:t> </w:t>
      </w:r>
      <w:r>
        <w:rPr/>
        <w:t>1848.</w:t>
      </w:r>
      <w:r>
        <w:rPr>
          <w:spacing w:val="-1"/>
        </w:rPr>
        <w:t> </w:t>
      </w:r>
      <w:r>
        <w:rPr/>
        <w:t>Politique</w:t>
      </w:r>
      <w:r>
        <w:rPr>
          <w:spacing w:val="-1"/>
        </w:rPr>
        <w:t> </w:t>
      </w:r>
      <w:r>
        <w:rPr/>
        <w:t>éditoriale</w:t>
      </w:r>
      <w:r>
        <w:rPr>
          <w:spacing w:val="-1"/>
        </w:rPr>
        <w:t> </w:t>
      </w:r>
      <w:r>
        <w:rPr/>
        <w:t>et évolution des thèmes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recherche</w:t>
      </w:r>
      <w:r>
        <w:rPr>
          <w:spacing w:val="7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116" w:right="300"/>
      </w:pPr>
      <w:r>
        <w:rPr/>
        <w:t>Michèle Riot-Sarcey, « Comment relire le XIXe siècle ? La Revue d'histoire du XIXe siècle</w:t>
      </w:r>
      <w:r>
        <w:rPr>
          <w:spacing w:val="-57"/>
        </w:rPr>
        <w:t> </w:t>
      </w:r>
      <w:r>
        <w:rPr/>
        <w:t>au</w:t>
      </w:r>
      <w:r>
        <w:rPr>
          <w:spacing w:val="-1"/>
        </w:rPr>
        <w:t> </w:t>
      </w:r>
      <w:r>
        <w:rPr/>
        <w:t>milieu du gué</w:t>
      </w:r>
      <w:r>
        <w:rPr>
          <w:spacing w:val="4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0" w:lineRule="auto" w:before="173" w:after="0"/>
        <w:ind w:left="116" w:right="552" w:firstLine="0"/>
        <w:jc w:val="left"/>
        <w:rPr>
          <w:sz w:val="24"/>
        </w:rPr>
      </w:pPr>
      <w:r>
        <w:rPr>
          <w:b/>
          <w:sz w:val="24"/>
        </w:rPr>
        <w:t>« Revues et sociétés savantes ou militantes : quel avenir ? </w:t>
      </w:r>
      <w:r>
        <w:rPr>
          <w:sz w:val="24"/>
        </w:rPr>
        <w:t>, table ronde animée par</w:t>
      </w:r>
      <w:r>
        <w:rPr>
          <w:spacing w:val="-57"/>
          <w:sz w:val="24"/>
        </w:rPr>
        <w:t> </w:t>
      </w:r>
      <w:r>
        <w:rPr>
          <w:sz w:val="24"/>
        </w:rPr>
        <w:t>Alain</w:t>
      </w:r>
      <w:r>
        <w:rPr>
          <w:spacing w:val="-1"/>
          <w:sz w:val="24"/>
        </w:rPr>
        <w:t> </w:t>
      </w:r>
      <w:r>
        <w:rPr>
          <w:sz w:val="24"/>
        </w:rPr>
        <w:t>Corbin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116" w:right="90"/>
      </w:pPr>
      <w:r>
        <w:rPr/>
        <w:t>Avec la participation de : Sylvie Aprile (Revue d'histoire du XIXe siècle), Philippe Bourdin</w:t>
      </w:r>
      <w:r>
        <w:rPr>
          <w:spacing w:val="1"/>
        </w:rPr>
        <w:t> </w:t>
      </w:r>
      <w:r>
        <w:rPr/>
        <w:t>(Annales d'histoire de la Révolution française), Marin Dacos (revues.org), Alain Dalotel (Les</w:t>
      </w:r>
      <w:r>
        <w:rPr>
          <w:spacing w:val="1"/>
        </w:rPr>
        <w:t> </w:t>
      </w:r>
      <w:r>
        <w:rPr/>
        <w:t>Amis de la Commune), Anne Jollet (Cahiers d'histoire), Paul Creep (Association 1851 - Pour</w:t>
      </w:r>
      <w:r>
        <w:rPr>
          <w:spacing w:val="1"/>
        </w:rPr>
        <w:t> </w:t>
      </w:r>
      <w:r>
        <w:rPr/>
        <w:t>la mémoire des résistances républicaines), Stéphane Michaud (Société des études romantiques</w:t>
      </w:r>
      <w:r>
        <w:rPr>
          <w:spacing w:val="-57"/>
        </w:rPr>
        <w:t> </w:t>
      </w:r>
      <w:r>
        <w:rPr/>
        <w:t>et dix-neuvièmiste), Philippe Minard (Société d'histoire moderne et contemporaine), Michel</w:t>
      </w:r>
      <w:r>
        <w:rPr>
          <w:spacing w:val="1"/>
        </w:rPr>
        <w:t> </w:t>
      </w:r>
      <w:r>
        <w:rPr/>
        <w:t>Pigenet</w:t>
      </w:r>
      <w:r>
        <w:rPr>
          <w:spacing w:val="-1"/>
        </w:rPr>
        <w:t> </w:t>
      </w:r>
      <w:r>
        <w:rPr/>
        <w:t>(Le</w:t>
      </w:r>
      <w:r>
        <w:rPr>
          <w:spacing w:val="1"/>
        </w:rPr>
        <w:t> </w:t>
      </w:r>
      <w:r>
        <w:rPr/>
        <w:t>Mouvement</w:t>
      </w:r>
      <w:r>
        <w:rPr>
          <w:spacing w:val="2"/>
        </w:rPr>
        <w:t> </w:t>
      </w:r>
      <w:r>
        <w:rPr/>
        <w:t>social)</w:t>
      </w:r>
    </w:p>
    <w:sectPr>
      <w:pgSz w:w="11910" w:h="16840"/>
      <w:pgMar w:top="158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9" w:hanging="2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4" w:hanging="21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09" w:hanging="21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03" w:hanging="21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98" w:hanging="21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93" w:hanging="21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87" w:hanging="21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82" w:hanging="21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77" w:hanging="21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6" w:right="1939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73"/>
      <w:ind w:left="116" w:hanging="40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Lhermitte-Blondy</dc:creator>
  <dcterms:created xsi:type="dcterms:W3CDTF">2024-06-10T09:46:20Z</dcterms:created>
  <dcterms:modified xsi:type="dcterms:W3CDTF">2024-06-10T09:46:20Z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</Properties>
</file>