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865DE1" w14:textId="77777777" w:rsidR="003D6602" w:rsidRPr="003D6602" w:rsidRDefault="003D6602" w:rsidP="003D6602">
      <w:pPr>
        <w:jc w:val="both"/>
        <w:rPr>
          <w:rFonts w:ascii="Cambria" w:hAnsi="Cambria"/>
        </w:rPr>
      </w:pPr>
    </w:p>
    <w:p w14:paraId="502D7051" w14:textId="428C4D82" w:rsidR="004A4367" w:rsidRPr="003D6602" w:rsidRDefault="004A4367" w:rsidP="004A4367">
      <w:pPr>
        <w:spacing w:before="100"/>
        <w:jc w:val="center"/>
        <w:rPr>
          <w:rFonts w:ascii="Cambria" w:hAnsi="Cambria"/>
          <w:b/>
          <w:bCs/>
          <w:color w:val="990000"/>
          <w:sz w:val="32"/>
          <w:szCs w:val="32"/>
        </w:rPr>
      </w:pPr>
      <w:r w:rsidRPr="003D6602">
        <w:rPr>
          <w:rFonts w:ascii="Cambria" w:hAnsi="Cambria"/>
          <w:b/>
          <w:bCs/>
          <w:color w:val="990000"/>
          <w:sz w:val="36"/>
          <w:szCs w:val="36"/>
        </w:rPr>
        <w:t>Séminaire Acteurs, pratiques et représentations de la sécurité (</w:t>
      </w:r>
      <w:r w:rsidRPr="003D6602">
        <w:rPr>
          <w:rFonts w:ascii="Cambria" w:hAnsi="Cambria"/>
          <w:b/>
          <w:bCs/>
          <w:color w:val="990000"/>
          <w:sz w:val="32"/>
          <w:szCs w:val="32"/>
        </w:rPr>
        <w:t>XIX</w:t>
      </w:r>
      <w:r w:rsidRPr="000076D1">
        <w:rPr>
          <w:rFonts w:ascii="Cambria" w:hAnsi="Cambria"/>
          <w:b/>
          <w:bCs/>
          <w:color w:val="990000"/>
          <w:sz w:val="28"/>
          <w:szCs w:val="28"/>
          <w:vertAlign w:val="superscript"/>
        </w:rPr>
        <w:t>e</w:t>
      </w:r>
      <w:r w:rsidRPr="003D6602">
        <w:rPr>
          <w:rFonts w:ascii="Cambria" w:hAnsi="Cambria"/>
          <w:b/>
          <w:bCs/>
          <w:color w:val="990000"/>
          <w:sz w:val="32"/>
          <w:szCs w:val="32"/>
        </w:rPr>
        <w:t>-XXI</w:t>
      </w:r>
      <w:r w:rsidRPr="000076D1">
        <w:rPr>
          <w:rFonts w:ascii="Cambria" w:hAnsi="Cambria"/>
          <w:b/>
          <w:bCs/>
          <w:color w:val="990000"/>
          <w:sz w:val="28"/>
          <w:szCs w:val="28"/>
          <w:vertAlign w:val="superscript"/>
        </w:rPr>
        <w:t xml:space="preserve">e </w:t>
      </w:r>
      <w:r w:rsidRPr="003D6602">
        <w:rPr>
          <w:rFonts w:ascii="Cambria" w:hAnsi="Cambria"/>
          <w:b/>
          <w:bCs/>
          <w:color w:val="990000"/>
          <w:sz w:val="32"/>
          <w:szCs w:val="32"/>
        </w:rPr>
        <w:t>siècles)</w:t>
      </w:r>
    </w:p>
    <w:p w14:paraId="7F725AC1" w14:textId="1627E261" w:rsidR="004D4969" w:rsidRPr="000076D1" w:rsidRDefault="004D4969" w:rsidP="003D6602">
      <w:pPr>
        <w:suppressAutoHyphens w:val="0"/>
        <w:jc w:val="center"/>
        <w:rPr>
          <w:rFonts w:ascii="Cambria" w:eastAsia="Times New Roman" w:hAnsi="Cambria" w:cs="Times New Roman"/>
          <w:b/>
          <w:sz w:val="28"/>
          <w:szCs w:val="28"/>
        </w:rPr>
      </w:pPr>
      <w:r w:rsidRPr="000076D1">
        <w:rPr>
          <w:rFonts w:ascii="Cambria" w:eastAsia="Times New Roman" w:hAnsi="Cambria" w:cs="Times New Roman"/>
          <w:b/>
          <w:sz w:val="28"/>
          <w:szCs w:val="28"/>
        </w:rPr>
        <w:t>Séminaire Master-Doctorat</w:t>
      </w:r>
      <w:r w:rsidR="000076D1" w:rsidRPr="000076D1">
        <w:rPr>
          <w:rFonts w:ascii="Cambria" w:eastAsia="Times New Roman" w:hAnsi="Cambria" w:cs="Times New Roman"/>
          <w:b/>
          <w:sz w:val="28"/>
          <w:szCs w:val="28"/>
        </w:rPr>
        <w:t xml:space="preserve"> – Sorbonne Université – Centre d’histoire du XIX</w:t>
      </w:r>
      <w:r w:rsidR="000076D1" w:rsidRPr="000076D1">
        <w:rPr>
          <w:rFonts w:ascii="Cambria" w:eastAsia="Times New Roman" w:hAnsi="Cambria" w:cs="Times New Roman"/>
          <w:b/>
          <w:sz w:val="22"/>
          <w:szCs w:val="22"/>
          <w:vertAlign w:val="superscript"/>
        </w:rPr>
        <w:t>e</w:t>
      </w:r>
      <w:r w:rsidR="000076D1" w:rsidRPr="000076D1">
        <w:rPr>
          <w:rFonts w:ascii="Cambria" w:eastAsia="Times New Roman" w:hAnsi="Cambria" w:cs="Times New Roman"/>
          <w:b/>
          <w:sz w:val="28"/>
          <w:szCs w:val="28"/>
        </w:rPr>
        <w:t xml:space="preserve"> siècle</w:t>
      </w:r>
    </w:p>
    <w:p w14:paraId="7A3ABEA5" w14:textId="13245020" w:rsidR="004A4367" w:rsidRPr="000A4297" w:rsidRDefault="004A4367" w:rsidP="004D4969">
      <w:pPr>
        <w:suppressAutoHyphens w:val="0"/>
        <w:spacing w:before="60" w:after="60"/>
        <w:jc w:val="center"/>
        <w:rPr>
          <w:i/>
          <w:iCs/>
          <w:sz w:val="28"/>
          <w:szCs w:val="28"/>
        </w:rPr>
      </w:pPr>
      <w:r w:rsidRPr="000A4297">
        <w:rPr>
          <w:rFonts w:eastAsia="Times New Roman" w:cs="Times New Roman"/>
          <w:b/>
          <w:i/>
          <w:iCs/>
          <w:sz w:val="28"/>
          <w:szCs w:val="28"/>
        </w:rPr>
        <w:t xml:space="preserve">Pr Arnaud-Dominique </w:t>
      </w:r>
      <w:proofErr w:type="spellStart"/>
      <w:proofErr w:type="gramStart"/>
      <w:r w:rsidRPr="000A4297">
        <w:rPr>
          <w:rFonts w:eastAsia="Times New Roman" w:cs="Times New Roman"/>
          <w:b/>
          <w:i/>
          <w:iCs/>
          <w:sz w:val="28"/>
          <w:szCs w:val="28"/>
        </w:rPr>
        <w:t>Houte</w:t>
      </w:r>
      <w:proofErr w:type="spellEnd"/>
      <w:r w:rsidRPr="000A4297">
        <w:rPr>
          <w:rFonts w:eastAsia="Times New Roman" w:cs="Times New Roman"/>
          <w:b/>
          <w:i/>
          <w:iCs/>
          <w:sz w:val="28"/>
          <w:szCs w:val="28"/>
        </w:rPr>
        <w:t xml:space="preserve">  -</w:t>
      </w:r>
      <w:proofErr w:type="gramEnd"/>
      <w:r w:rsidRPr="000A4297">
        <w:rPr>
          <w:rFonts w:eastAsia="Times New Roman" w:cs="Times New Roman"/>
          <w:b/>
          <w:i/>
          <w:iCs/>
          <w:sz w:val="28"/>
          <w:szCs w:val="28"/>
        </w:rPr>
        <w:t xml:space="preserve">  Pr émérite Jean-Noël Luc </w:t>
      </w:r>
    </w:p>
    <w:p w14:paraId="3AB0BD5F" w14:textId="6F8A3ABF" w:rsidR="004A4367" w:rsidRDefault="004A4367" w:rsidP="004A4367">
      <w:pPr>
        <w:jc w:val="center"/>
        <w:rPr>
          <w:rStyle w:val="Lienhypertexte"/>
          <w:bCs/>
        </w:rPr>
      </w:pPr>
      <w:r w:rsidRPr="001452E3">
        <w:rPr>
          <w:rFonts w:eastAsia="Times New Roman" w:cs="Times New Roman"/>
          <w:bCs/>
        </w:rPr>
        <w:t xml:space="preserve">Maison de la recherche (28 rue Serpente, Paris VI), mardi </w:t>
      </w:r>
      <w:r w:rsidRPr="001452E3">
        <w:rPr>
          <w:rFonts w:eastAsia="Times New Roman" w:cs="Times New Roman"/>
          <w:bCs/>
          <w:shd w:val="clear" w:color="auto" w:fill="FFFF00"/>
        </w:rPr>
        <w:t>16h-18h</w:t>
      </w:r>
      <w:r w:rsidRPr="001452E3">
        <w:rPr>
          <w:rFonts w:eastAsia="Times New Roman" w:cs="Times New Roman"/>
          <w:bCs/>
        </w:rPr>
        <w:t xml:space="preserve">, </w:t>
      </w:r>
      <w:r w:rsidR="004D4969">
        <w:rPr>
          <w:rFonts w:eastAsia="Times New Roman" w:cs="Times New Roman"/>
          <w:bCs/>
        </w:rPr>
        <w:t xml:space="preserve">amphi </w:t>
      </w:r>
      <w:proofErr w:type="spellStart"/>
      <w:r w:rsidR="004D4969">
        <w:rPr>
          <w:rFonts w:eastAsia="Times New Roman" w:cs="Times New Roman"/>
          <w:bCs/>
        </w:rPr>
        <w:t>Molinié</w:t>
      </w:r>
      <w:proofErr w:type="spellEnd"/>
      <w:r>
        <w:rPr>
          <w:rFonts w:eastAsia="Times New Roman" w:cs="Times New Roman"/>
          <w:bCs/>
        </w:rPr>
        <w:t xml:space="preserve"> - </w:t>
      </w:r>
      <w:r w:rsidRPr="001452E3">
        <w:rPr>
          <w:rFonts w:eastAsia="Times New Roman" w:cs="Times New Roman"/>
          <w:bCs/>
        </w:rPr>
        <w:t xml:space="preserve">Informations : </w:t>
      </w:r>
      <w:hyperlink r:id="rId6" w:history="1">
        <w:r w:rsidRPr="00FF087C">
          <w:rPr>
            <w:rStyle w:val="Lienhypertexte"/>
            <w:bCs/>
          </w:rPr>
          <w:t>arnaud.houte@sorbonne-universite.fr</w:t>
        </w:r>
      </w:hyperlink>
    </w:p>
    <w:p w14:paraId="295DC20D" w14:textId="77777777" w:rsidR="004A4367" w:rsidRPr="001452E3" w:rsidRDefault="004A4367" w:rsidP="004A4367">
      <w:pPr>
        <w:suppressAutoHyphens w:val="0"/>
        <w:jc w:val="center"/>
        <w:rPr>
          <w:bCs/>
        </w:rPr>
      </w:pPr>
    </w:p>
    <w:p w14:paraId="03523A13" w14:textId="77777777" w:rsidR="004D4969" w:rsidRDefault="004D4969" w:rsidP="004D4969">
      <w:pPr>
        <w:spacing w:before="57"/>
        <w:jc w:val="both"/>
      </w:pPr>
      <w:r>
        <w:rPr>
          <w:rFonts w:cs="Times New Roman"/>
          <w:b/>
          <w:bCs/>
          <w:color w:val="000000"/>
          <w:sz w:val="28"/>
          <w:szCs w:val="28"/>
        </w:rPr>
        <w:t>17 septembre – La découverte du master, la construction du sujet</w:t>
      </w:r>
    </w:p>
    <w:p w14:paraId="048AA44D" w14:textId="77777777" w:rsidR="004D4969" w:rsidRDefault="004D4969" w:rsidP="003D6602">
      <w:pPr>
        <w:spacing w:before="80"/>
        <w:jc w:val="both"/>
      </w:pPr>
      <w:r>
        <w:rPr>
          <w:rFonts w:cs="Times New Roman"/>
          <w:b/>
          <w:bCs/>
          <w:color w:val="000000"/>
          <w:spacing w:val="-6"/>
          <w:sz w:val="28"/>
          <w:szCs w:val="28"/>
        </w:rPr>
        <w:t>24 septembre – Méthodologie de la recherche (1)</w:t>
      </w:r>
    </w:p>
    <w:p w14:paraId="55CDD6B2" w14:textId="77777777" w:rsidR="004D4969" w:rsidRDefault="004D4969" w:rsidP="003D6602">
      <w:pPr>
        <w:spacing w:before="80"/>
        <w:jc w:val="both"/>
      </w:pPr>
      <w:r>
        <w:rPr>
          <w:rFonts w:cs="Times New Roman"/>
          <w:b/>
          <w:bCs/>
          <w:color w:val="000000"/>
          <w:sz w:val="28"/>
          <w:szCs w:val="28"/>
        </w:rPr>
        <w:t>1</w:t>
      </w:r>
      <w:r w:rsidRPr="0024177C">
        <w:rPr>
          <w:rFonts w:cs="Times New Roman"/>
          <w:b/>
          <w:bCs/>
          <w:color w:val="000000"/>
          <w:sz w:val="28"/>
          <w:szCs w:val="28"/>
          <w:vertAlign w:val="superscript"/>
        </w:rPr>
        <w:t>er</w:t>
      </w:r>
      <w:r>
        <w:rPr>
          <w:rFonts w:cs="Times New Roman"/>
          <w:b/>
          <w:bCs/>
          <w:color w:val="000000"/>
          <w:sz w:val="28"/>
          <w:szCs w:val="28"/>
        </w:rPr>
        <w:t xml:space="preserve"> octobre – Méthodologie de la recherche (2)</w:t>
      </w:r>
    </w:p>
    <w:p w14:paraId="54B24864" w14:textId="77777777" w:rsidR="004D4969" w:rsidRDefault="004D4969" w:rsidP="003D6602">
      <w:pPr>
        <w:spacing w:before="80"/>
        <w:jc w:val="both"/>
        <w:rPr>
          <w:rFonts w:cs="Times New Roman"/>
          <w:b/>
          <w:bCs/>
          <w:color w:val="000000"/>
          <w:sz w:val="28"/>
          <w:szCs w:val="28"/>
        </w:rPr>
      </w:pPr>
      <w:r>
        <w:rPr>
          <w:rFonts w:cs="Times New Roman"/>
          <w:b/>
          <w:bCs/>
          <w:color w:val="000000"/>
          <w:sz w:val="28"/>
          <w:szCs w:val="28"/>
        </w:rPr>
        <w:t>8 octobre – Méthodologie de la recherche (3)</w:t>
      </w:r>
    </w:p>
    <w:p w14:paraId="6C223449" w14:textId="77777777" w:rsidR="004D4969" w:rsidRDefault="004D4969" w:rsidP="003D6602">
      <w:pPr>
        <w:spacing w:before="120"/>
        <w:jc w:val="both"/>
      </w:pPr>
      <w:r>
        <w:rPr>
          <w:rFonts w:cs="Times New Roman"/>
          <w:b/>
          <w:bCs/>
          <w:color w:val="000000"/>
          <w:sz w:val="28"/>
          <w:szCs w:val="28"/>
        </w:rPr>
        <w:t xml:space="preserve">15 octobre – </w:t>
      </w:r>
      <w:r w:rsidRPr="007161A4">
        <w:rPr>
          <w:rFonts w:ascii="Cambria" w:hAnsi="Cambria" w:cs="Times New Roman"/>
          <w:b/>
          <w:bCs/>
          <w:color w:val="000000"/>
          <w:sz w:val="28"/>
          <w:szCs w:val="28"/>
        </w:rPr>
        <w:t>Du maintien de l’ordre à la Belle Époque</w:t>
      </w:r>
    </w:p>
    <w:p w14:paraId="773CB2ED" w14:textId="77777777" w:rsidR="004D4969" w:rsidRPr="00DC1046" w:rsidRDefault="004D4969" w:rsidP="003D6602">
      <w:pPr>
        <w:spacing w:before="40" w:line="320" w:lineRule="exact"/>
        <w:ind w:left="340"/>
        <w:jc w:val="both"/>
        <w:rPr>
          <w:rFonts w:ascii="Cambria" w:hAnsi="Cambria"/>
        </w:rPr>
      </w:pPr>
      <w:r w:rsidRPr="00A104E0">
        <w:rPr>
          <w:rFonts w:ascii="Cambria" w:hAnsi="Cambria"/>
          <w:b/>
          <w:bCs/>
          <w:i/>
          <w:iCs/>
          <w:color w:val="990000"/>
          <w:sz w:val="28"/>
          <w:szCs w:val="28"/>
        </w:rPr>
        <w:t xml:space="preserve">La loi du revolver : conflits sociaux, </w:t>
      </w:r>
      <w:r w:rsidRPr="003D6602">
        <w:rPr>
          <w:rFonts w:ascii="Cambria" w:hAnsi="Cambria"/>
          <w:b/>
          <w:bCs/>
          <w:i/>
          <w:iCs/>
          <w:color w:val="990000"/>
          <w:sz w:val="28"/>
          <w:szCs w:val="28"/>
        </w:rPr>
        <w:t>briseurs</w:t>
      </w:r>
      <w:r w:rsidRPr="00A104E0">
        <w:rPr>
          <w:rFonts w:ascii="Cambria" w:hAnsi="Cambria"/>
          <w:b/>
          <w:bCs/>
          <w:i/>
          <w:iCs/>
          <w:color w:val="990000"/>
          <w:sz w:val="28"/>
          <w:szCs w:val="28"/>
        </w:rPr>
        <w:t xml:space="preserve"> de grèves et forces de police dans le Paris d'avant-guerre (1900-1914</w:t>
      </w:r>
      <w:r w:rsidRPr="0007769B">
        <w:rPr>
          <w:rFonts w:ascii="Cambria" w:hAnsi="Cambria"/>
          <w:b/>
          <w:bCs/>
          <w:i/>
          <w:iCs/>
          <w:color w:val="663300"/>
          <w:sz w:val="28"/>
          <w:szCs w:val="28"/>
        </w:rPr>
        <w:t>)</w:t>
      </w:r>
      <w:r>
        <w:rPr>
          <w:rFonts w:ascii="Cambria" w:hAnsi="Cambria"/>
          <w:b/>
          <w:bCs/>
          <w:i/>
          <w:iCs/>
          <w:color w:val="663300"/>
          <w:sz w:val="28"/>
          <w:szCs w:val="28"/>
        </w:rPr>
        <w:t xml:space="preserve"> </w:t>
      </w:r>
      <w:r w:rsidRPr="00541CD2">
        <w:rPr>
          <w:rFonts w:ascii="Cambria" w:hAnsi="Cambria"/>
          <w:b/>
          <w:bCs/>
          <w:sz w:val="28"/>
          <w:szCs w:val="28"/>
        </w:rPr>
        <w:t>-</w:t>
      </w:r>
      <w:r>
        <w:rPr>
          <w:rFonts w:ascii="Cambria" w:hAnsi="Cambria"/>
          <w:b/>
          <w:bCs/>
          <w:sz w:val="28"/>
          <w:szCs w:val="28"/>
        </w:rPr>
        <w:t xml:space="preserve"> </w:t>
      </w:r>
      <w:r w:rsidRPr="00DC1046">
        <w:rPr>
          <w:rFonts w:ascii="Cambria" w:hAnsi="Cambria"/>
          <w:b/>
          <w:bCs/>
          <w:color w:val="000000"/>
        </w:rPr>
        <w:t>Andrea AZZARELLI,</w:t>
      </w:r>
      <w:r w:rsidRPr="00DC1046">
        <w:rPr>
          <w:rFonts w:ascii="Cambria" w:hAnsi="Cambria"/>
          <w:color w:val="000000"/>
        </w:rPr>
        <w:t xml:space="preserve"> Maison de la création et de l’innovation (université de Grenoble-Alpes)</w:t>
      </w:r>
    </w:p>
    <w:p w14:paraId="6A9E9A83" w14:textId="77777777" w:rsidR="004D4969" w:rsidRDefault="004D4969" w:rsidP="003D6602">
      <w:pPr>
        <w:spacing w:before="120"/>
        <w:jc w:val="both"/>
      </w:pPr>
      <w:r>
        <w:rPr>
          <w:rFonts w:cs="Times New Roman"/>
          <w:b/>
          <w:bCs/>
          <w:color w:val="000000"/>
          <w:sz w:val="28"/>
          <w:szCs w:val="28"/>
        </w:rPr>
        <w:t xml:space="preserve">22 octobre – </w:t>
      </w:r>
      <w:r w:rsidRPr="00A104E0">
        <w:rPr>
          <w:rFonts w:ascii="Cambria" w:hAnsi="Cambria" w:cs="Times New Roman"/>
          <w:b/>
          <w:bCs/>
          <w:color w:val="000000"/>
          <w:sz w:val="28"/>
          <w:szCs w:val="28"/>
        </w:rPr>
        <w:t>Des groupes d’autodéfense du Far West aux chasseurs de pédophiles de la Russie contemporaine</w:t>
      </w:r>
    </w:p>
    <w:p w14:paraId="619A7FB6" w14:textId="77777777" w:rsidR="004D4969" w:rsidRPr="00DC1046" w:rsidRDefault="004D4969" w:rsidP="003D6602">
      <w:pPr>
        <w:spacing w:before="40" w:line="320" w:lineRule="exact"/>
        <w:ind w:left="340"/>
        <w:jc w:val="both"/>
        <w:rPr>
          <w:rFonts w:ascii="Cambria" w:hAnsi="Cambria"/>
        </w:rPr>
      </w:pPr>
      <w:r w:rsidRPr="00A104E0">
        <w:rPr>
          <w:rFonts w:ascii="Cambria" w:hAnsi="Cambria" w:cs="Times New Roman"/>
          <w:b/>
          <w:bCs/>
          <w:i/>
          <w:iCs/>
          <w:color w:val="990000"/>
          <w:sz w:val="28"/>
          <w:szCs w:val="28"/>
        </w:rPr>
        <w:t>Le monde des justiciers hors-la-loi</w:t>
      </w:r>
      <w:r>
        <w:rPr>
          <w:rFonts w:cs="Times New Roman"/>
          <w:color w:val="000000"/>
        </w:rPr>
        <w:t xml:space="preserve"> - </w:t>
      </w:r>
      <w:r w:rsidRPr="00DC1046">
        <w:rPr>
          <w:rFonts w:ascii="Cambria" w:hAnsi="Cambria" w:cs="Times New Roman"/>
          <w:b/>
          <w:bCs/>
          <w:color w:val="000000"/>
        </w:rPr>
        <w:t>Gilles FAVAREL-GARRIGUES et Laurent GAYER</w:t>
      </w:r>
      <w:r w:rsidRPr="00DC1046">
        <w:rPr>
          <w:rFonts w:ascii="Cambria" w:hAnsi="Cambria" w:cs="Times New Roman"/>
          <w:color w:val="000000"/>
        </w:rPr>
        <w:t>, CERI (Sciences-Po Paris, CNRS)</w:t>
      </w:r>
    </w:p>
    <w:p w14:paraId="610D9B90" w14:textId="77777777" w:rsidR="004D4969" w:rsidRDefault="004D4969" w:rsidP="003D6602">
      <w:pPr>
        <w:spacing w:before="120"/>
        <w:jc w:val="both"/>
      </w:pPr>
      <w:r>
        <w:rPr>
          <w:rFonts w:cs="Times New Roman"/>
          <w:b/>
          <w:bCs/>
          <w:color w:val="000000"/>
          <w:sz w:val="28"/>
          <w:szCs w:val="28"/>
        </w:rPr>
        <w:t xml:space="preserve">5 novembre – </w:t>
      </w:r>
      <w:r w:rsidRPr="00A104E0">
        <w:rPr>
          <w:rFonts w:ascii="Cambria" w:hAnsi="Cambria" w:cs="Arial"/>
          <w:b/>
          <w:bCs/>
          <w:color w:val="000000"/>
          <w:sz w:val="28"/>
          <w:szCs w:val="28"/>
          <w:shd w:val="clear" w:color="auto" w:fill="FFFFFF"/>
        </w:rPr>
        <w:t>Une police d’Ancien Régime en situation coloniale esclavagiste</w:t>
      </w:r>
    </w:p>
    <w:p w14:paraId="6215C04C" w14:textId="77777777" w:rsidR="004D4969" w:rsidRPr="00DC1046" w:rsidRDefault="004D4969" w:rsidP="003D6602">
      <w:pPr>
        <w:spacing w:before="40" w:line="320" w:lineRule="exact"/>
        <w:ind w:left="340"/>
        <w:jc w:val="both"/>
        <w:rPr>
          <w:rFonts w:ascii="Cambria" w:hAnsi="Cambria" w:cs="Cambria"/>
          <w:color w:val="000000"/>
          <w:shd w:val="clear" w:color="auto" w:fill="FFFFFF"/>
        </w:rPr>
      </w:pPr>
      <w:r w:rsidRPr="00A104E0">
        <w:rPr>
          <w:rFonts w:ascii="Cambria" w:hAnsi="Cambria" w:cs="TimesNewRomanPS"/>
          <w:b/>
          <w:bCs/>
          <w:i/>
          <w:iCs/>
          <w:color w:val="990000"/>
          <w:sz w:val="28"/>
          <w:szCs w:val="28"/>
          <w:shd w:val="clear" w:color="auto" w:fill="FFFFFF"/>
        </w:rPr>
        <w:t>Les rapports du bureau de police de Port-Louis à l’île Maurice, 1761-1790</w:t>
      </w:r>
      <w:r>
        <w:rPr>
          <w:rFonts w:ascii="Cambria" w:hAnsi="Cambria" w:cs="TimesNewRomanPS"/>
          <w:b/>
          <w:bCs/>
          <w:i/>
          <w:iCs/>
          <w:color w:val="663300"/>
          <w:sz w:val="28"/>
          <w:szCs w:val="28"/>
          <w:shd w:val="clear" w:color="auto" w:fill="FFFFFF"/>
        </w:rPr>
        <w:t xml:space="preserve"> -</w:t>
      </w:r>
      <w:r>
        <w:rPr>
          <w:rFonts w:ascii="Cambria" w:hAnsi="Cambria" w:cs="TimesNewRomanPS"/>
          <w:b/>
          <w:bCs/>
          <w:sz w:val="28"/>
          <w:szCs w:val="28"/>
          <w:shd w:val="clear" w:color="auto" w:fill="FFFFFF"/>
        </w:rPr>
        <w:t xml:space="preserve"> </w:t>
      </w:r>
      <w:r w:rsidRPr="007161A4">
        <w:rPr>
          <w:rFonts w:ascii="Cambria" w:hAnsi="Cambria" w:cs="Cambria"/>
          <w:b/>
          <w:bCs/>
          <w:color w:val="000000"/>
          <w:shd w:val="clear" w:color="auto" w:fill="FFFFFF"/>
        </w:rPr>
        <w:t>Catherine DENYS</w:t>
      </w:r>
      <w:r w:rsidRPr="00DC1046">
        <w:rPr>
          <w:rFonts w:ascii="Cambria" w:hAnsi="Cambria" w:cs="Cambria"/>
          <w:color w:val="000000"/>
          <w:shd w:val="clear" w:color="auto" w:fill="FFFFFF"/>
        </w:rPr>
        <w:t>, IRHIS (université de Lille)</w:t>
      </w:r>
    </w:p>
    <w:p w14:paraId="60323AE7" w14:textId="77777777" w:rsidR="004D4969" w:rsidRPr="00A7163C" w:rsidRDefault="004D4969" w:rsidP="003D6602">
      <w:pPr>
        <w:spacing w:before="120"/>
        <w:jc w:val="both"/>
      </w:pPr>
      <w:r w:rsidRPr="00A7163C">
        <w:rPr>
          <w:rFonts w:cs="Times New Roman"/>
          <w:b/>
          <w:bCs/>
          <w:color w:val="000000"/>
          <w:sz w:val="28"/>
          <w:szCs w:val="28"/>
        </w:rPr>
        <w:t xml:space="preserve">12 novembre – </w:t>
      </w:r>
      <w:r w:rsidRPr="00A104E0">
        <w:rPr>
          <w:rFonts w:ascii="Cambria" w:hAnsi="Cambria" w:cs="Times New Roman"/>
          <w:b/>
          <w:bCs/>
          <w:color w:val="000000"/>
          <w:sz w:val="28"/>
          <w:szCs w:val="28"/>
        </w:rPr>
        <w:t>Histoire culturelle, histoire des révolutions</w:t>
      </w:r>
      <w:r w:rsidRPr="00A7163C">
        <w:rPr>
          <w:rFonts w:cs="Times New Roman"/>
          <w:b/>
          <w:bCs/>
          <w:color w:val="000000"/>
          <w:sz w:val="28"/>
          <w:szCs w:val="28"/>
        </w:rPr>
        <w:t xml:space="preserve"> </w:t>
      </w:r>
    </w:p>
    <w:p w14:paraId="020A8DF5" w14:textId="77777777" w:rsidR="004D4969" w:rsidRPr="00DC1046" w:rsidRDefault="004D4969" w:rsidP="003D6602">
      <w:pPr>
        <w:spacing w:before="40" w:line="320" w:lineRule="exact"/>
        <w:ind w:left="340"/>
        <w:jc w:val="both"/>
        <w:rPr>
          <w:rFonts w:ascii="Cambria" w:hAnsi="Cambria"/>
        </w:rPr>
      </w:pPr>
      <w:r w:rsidRPr="00A104E0">
        <w:rPr>
          <w:rFonts w:ascii="Cambria" w:hAnsi="Cambria" w:cs="Times New Roman"/>
          <w:b/>
          <w:bCs/>
          <w:i/>
          <w:iCs/>
          <w:color w:val="990000"/>
          <w:sz w:val="28"/>
          <w:szCs w:val="28"/>
        </w:rPr>
        <w:t>Les spectres, une figure mobilisatrice de l'imaginaire révolutionnaire (France, XIXe siècle)</w:t>
      </w:r>
      <w:r>
        <w:rPr>
          <w:rFonts w:ascii="Cambria" w:hAnsi="Cambria" w:cs="Times New Roman"/>
          <w:b/>
          <w:bCs/>
          <w:color w:val="663300"/>
          <w:sz w:val="28"/>
          <w:szCs w:val="28"/>
        </w:rPr>
        <w:t xml:space="preserve"> </w:t>
      </w:r>
      <w:r w:rsidRPr="00541CD2">
        <w:rPr>
          <w:rFonts w:ascii="Cambria" w:hAnsi="Cambria" w:cs="Times New Roman"/>
          <w:b/>
          <w:bCs/>
          <w:sz w:val="28"/>
          <w:szCs w:val="28"/>
        </w:rPr>
        <w:t xml:space="preserve">- </w:t>
      </w:r>
      <w:r w:rsidRPr="007161A4">
        <w:rPr>
          <w:rFonts w:ascii="Cambria" w:hAnsi="Cambria" w:cs="Times New Roman"/>
          <w:b/>
          <w:bCs/>
          <w:color w:val="000000"/>
        </w:rPr>
        <w:t>Éric FOURNIER</w:t>
      </w:r>
      <w:r w:rsidRPr="00DC1046">
        <w:rPr>
          <w:rFonts w:ascii="Cambria" w:hAnsi="Cambria" w:cs="Times New Roman"/>
          <w:color w:val="000000"/>
        </w:rPr>
        <w:t>, Centre d’Histoire du XIX</w:t>
      </w:r>
      <w:r w:rsidRPr="000076D1">
        <w:rPr>
          <w:rFonts w:ascii="Cambria" w:hAnsi="Cambria" w:cs="Times New Roman"/>
          <w:bCs/>
          <w:sz w:val="22"/>
          <w:szCs w:val="22"/>
          <w:vertAlign w:val="superscript"/>
        </w:rPr>
        <w:t>e</w:t>
      </w:r>
      <w:r w:rsidRPr="00DC1046">
        <w:rPr>
          <w:rFonts w:ascii="Cambria" w:hAnsi="Cambria" w:cs="Times New Roman"/>
          <w:color w:val="000000"/>
        </w:rPr>
        <w:t xml:space="preserve"> siècle (Paris I Panthéon-Sorbonne)</w:t>
      </w:r>
    </w:p>
    <w:p w14:paraId="68F41A12" w14:textId="77777777" w:rsidR="004D4969" w:rsidRPr="00A104E0" w:rsidRDefault="004D4969" w:rsidP="003D6602">
      <w:pPr>
        <w:spacing w:before="120"/>
        <w:jc w:val="both"/>
        <w:rPr>
          <w:rFonts w:ascii="Cambria" w:hAnsi="Cambria"/>
        </w:rPr>
      </w:pPr>
      <w:r>
        <w:rPr>
          <w:rFonts w:cs="Times New Roman"/>
          <w:b/>
          <w:bCs/>
          <w:color w:val="000000"/>
          <w:sz w:val="28"/>
          <w:szCs w:val="28"/>
        </w:rPr>
        <w:t xml:space="preserve">19 novembre – </w:t>
      </w:r>
      <w:r w:rsidRPr="00A104E0">
        <w:rPr>
          <w:rFonts w:ascii="Cambria" w:hAnsi="Cambria" w:cs="Arial"/>
          <w:b/>
          <w:bCs/>
          <w:color w:val="000000"/>
          <w:spacing w:val="-10"/>
          <w:sz w:val="28"/>
          <w:szCs w:val="28"/>
          <w:shd w:val="clear" w:color="auto" w:fill="FFFFFF"/>
        </w:rPr>
        <w:t>Police pour tous ?</w:t>
      </w:r>
    </w:p>
    <w:p w14:paraId="77991EBE" w14:textId="77777777" w:rsidR="004D4969" w:rsidRPr="00DC1046" w:rsidRDefault="004D4969" w:rsidP="003D6602">
      <w:pPr>
        <w:pStyle w:val="Corpsdetexte"/>
        <w:spacing w:before="40" w:after="0" w:line="320" w:lineRule="exact"/>
        <w:ind w:left="340"/>
        <w:jc w:val="both"/>
        <w:rPr>
          <w:rFonts w:ascii="Cambria" w:hAnsi="Cambria"/>
        </w:rPr>
      </w:pPr>
      <w:r w:rsidRPr="00A104E0">
        <w:rPr>
          <w:rFonts w:ascii="Cambria" w:hAnsi="Cambria" w:cs="TimesNewRomanPS"/>
          <w:b/>
          <w:bCs/>
          <w:i/>
          <w:iCs/>
          <w:color w:val="990000"/>
          <w:sz w:val="28"/>
          <w:szCs w:val="28"/>
          <w:shd w:val="clear" w:color="auto" w:fill="FFFFFF"/>
        </w:rPr>
        <w:t>L’expérience des règles de sortie pendant le premier confinement (printemps 2020)</w:t>
      </w:r>
      <w:r>
        <w:rPr>
          <w:rFonts w:ascii="Cambria" w:hAnsi="Cambria" w:cs="TimesNewRomanPS"/>
          <w:b/>
          <w:bCs/>
          <w:i/>
          <w:iCs/>
          <w:color w:val="663300"/>
          <w:sz w:val="28"/>
          <w:szCs w:val="28"/>
          <w:shd w:val="clear" w:color="auto" w:fill="FFFFFF"/>
        </w:rPr>
        <w:t xml:space="preserve"> </w:t>
      </w:r>
      <w:r w:rsidRPr="00541CD2">
        <w:rPr>
          <w:rFonts w:ascii="Cambria" w:hAnsi="Cambria" w:cs="TimesNewRomanPS"/>
          <w:b/>
          <w:bCs/>
          <w:sz w:val="28"/>
          <w:szCs w:val="28"/>
          <w:shd w:val="clear" w:color="auto" w:fill="FFFFFF"/>
        </w:rPr>
        <w:t>-</w:t>
      </w:r>
      <w:r>
        <w:rPr>
          <w:rFonts w:ascii="Cambria" w:hAnsi="Cambria" w:cs="TimesNewRomanPS"/>
          <w:b/>
          <w:bCs/>
          <w:sz w:val="28"/>
          <w:szCs w:val="28"/>
          <w:shd w:val="clear" w:color="auto" w:fill="FFFFFF"/>
        </w:rPr>
        <w:t xml:space="preserve"> </w:t>
      </w:r>
      <w:r w:rsidRPr="007161A4">
        <w:rPr>
          <w:rFonts w:ascii="Cambria" w:hAnsi="Cambria" w:cs="Cambria"/>
          <w:b/>
          <w:bCs/>
          <w:color w:val="000000"/>
          <w:shd w:val="clear" w:color="auto" w:fill="FFFFFF"/>
        </w:rPr>
        <w:t>Nicolas MARIOT</w:t>
      </w:r>
      <w:r w:rsidRPr="00DC1046">
        <w:rPr>
          <w:rFonts w:ascii="Cambria" w:hAnsi="Cambria" w:cs="Cambria"/>
          <w:color w:val="000000"/>
          <w:shd w:val="clear" w:color="auto" w:fill="FFFFFF"/>
        </w:rPr>
        <w:t>, Centre européen de sociologie et de science politique (CESSP/CNRS)</w:t>
      </w:r>
    </w:p>
    <w:p w14:paraId="76F394F3" w14:textId="77777777" w:rsidR="004D4969" w:rsidRPr="00A104E0" w:rsidRDefault="004D4969" w:rsidP="003D6602">
      <w:pPr>
        <w:spacing w:before="120"/>
        <w:jc w:val="both"/>
        <w:rPr>
          <w:rFonts w:ascii="Cambria" w:hAnsi="Cambria"/>
        </w:rPr>
      </w:pPr>
      <w:r>
        <w:rPr>
          <w:rFonts w:cs="Times New Roman"/>
          <w:b/>
          <w:bCs/>
          <w:color w:val="000000"/>
          <w:sz w:val="28"/>
          <w:szCs w:val="28"/>
        </w:rPr>
        <w:t xml:space="preserve">26 novembre – </w:t>
      </w:r>
      <w:r w:rsidRPr="00A104E0">
        <w:rPr>
          <w:rFonts w:ascii="Cambria" w:hAnsi="Cambria" w:cs="Times New Roman"/>
          <w:b/>
          <w:bCs/>
          <w:color w:val="000000"/>
          <w:sz w:val="28"/>
          <w:szCs w:val="28"/>
        </w:rPr>
        <w:t>Un nouveau chantier pour l’histoire des polices</w:t>
      </w:r>
    </w:p>
    <w:p w14:paraId="79A612D4" w14:textId="77777777" w:rsidR="004D4969" w:rsidRDefault="004D4969" w:rsidP="003D6602">
      <w:pPr>
        <w:spacing w:before="40" w:line="320" w:lineRule="exact"/>
        <w:ind w:left="340"/>
        <w:jc w:val="both"/>
      </w:pPr>
      <w:r w:rsidRPr="00A104E0">
        <w:rPr>
          <w:rFonts w:ascii="Cambria" w:hAnsi="Cambria" w:cs="Times New Roman"/>
          <w:b/>
          <w:bCs/>
          <w:i/>
          <w:iCs/>
          <w:color w:val="990000"/>
          <w:sz w:val="28"/>
          <w:szCs w:val="28"/>
        </w:rPr>
        <w:t>Polices et maladies mentales (XIXe-XXe)</w:t>
      </w:r>
      <w:r>
        <w:rPr>
          <w:rFonts w:ascii="Cambria" w:hAnsi="Cambria" w:cs="Times New Roman"/>
          <w:b/>
          <w:bCs/>
          <w:color w:val="663300"/>
          <w:sz w:val="28"/>
          <w:szCs w:val="28"/>
        </w:rPr>
        <w:t xml:space="preserve"> </w:t>
      </w:r>
      <w:r>
        <w:rPr>
          <w:rFonts w:ascii="Cambria" w:hAnsi="Cambria" w:cs="Times New Roman"/>
          <w:b/>
          <w:bCs/>
          <w:sz w:val="28"/>
          <w:szCs w:val="28"/>
        </w:rPr>
        <w:t xml:space="preserve">- </w:t>
      </w:r>
      <w:r w:rsidRPr="007161A4">
        <w:rPr>
          <w:rFonts w:ascii="Cambria" w:hAnsi="Cambria" w:cs="Times New Roman"/>
          <w:b/>
          <w:bCs/>
          <w:color w:val="000000"/>
        </w:rPr>
        <w:t>Marie DERRIEN</w:t>
      </w:r>
      <w:r w:rsidRPr="00DC1046">
        <w:rPr>
          <w:rFonts w:ascii="Cambria" w:hAnsi="Cambria" w:cs="Times New Roman"/>
          <w:color w:val="000000"/>
        </w:rPr>
        <w:t>, IUF-IRHIS (université de Lille).</w:t>
      </w:r>
    </w:p>
    <w:p w14:paraId="2AEBF89C" w14:textId="77777777" w:rsidR="004D4969" w:rsidRPr="00DC1046" w:rsidRDefault="004D4969" w:rsidP="003D6602">
      <w:pPr>
        <w:spacing w:before="120"/>
        <w:jc w:val="both"/>
        <w:rPr>
          <w:rFonts w:ascii="Cambria" w:hAnsi="Cambria"/>
        </w:rPr>
      </w:pPr>
      <w:r>
        <w:rPr>
          <w:rFonts w:cs="Times New Roman"/>
          <w:b/>
          <w:bCs/>
          <w:color w:val="000000"/>
          <w:spacing w:val="-8"/>
          <w:sz w:val="28"/>
          <w:szCs w:val="28"/>
        </w:rPr>
        <w:t xml:space="preserve">3 décembre – </w:t>
      </w:r>
      <w:r w:rsidRPr="00A104E0">
        <w:rPr>
          <w:rFonts w:ascii="Cambria" w:hAnsi="Cambria" w:cs="Times New Roman"/>
          <w:b/>
          <w:bCs/>
          <w:i/>
          <w:iCs/>
          <w:color w:val="990000"/>
          <w:spacing w:val="-8"/>
          <w:sz w:val="28"/>
          <w:szCs w:val="28"/>
        </w:rPr>
        <w:t>État, démocratie et libertés publiques en France</w:t>
      </w:r>
      <w:r>
        <w:rPr>
          <w:rFonts w:ascii="Cambria" w:hAnsi="Cambria" w:cs="Times New Roman"/>
          <w:b/>
          <w:bCs/>
          <w:color w:val="663300"/>
          <w:spacing w:val="-8"/>
          <w:sz w:val="28"/>
          <w:szCs w:val="28"/>
        </w:rPr>
        <w:t xml:space="preserve"> </w:t>
      </w:r>
      <w:r w:rsidRPr="00541CD2">
        <w:rPr>
          <w:rFonts w:ascii="Cambria" w:hAnsi="Cambria" w:cs="Times New Roman"/>
          <w:b/>
          <w:bCs/>
          <w:spacing w:val="-8"/>
          <w:sz w:val="28"/>
          <w:szCs w:val="28"/>
        </w:rPr>
        <w:t>-</w:t>
      </w:r>
      <w:r>
        <w:rPr>
          <w:rFonts w:ascii="Cambria" w:hAnsi="Cambria" w:cs="Times New Roman"/>
          <w:b/>
          <w:bCs/>
          <w:spacing w:val="-8"/>
          <w:sz w:val="28"/>
          <w:szCs w:val="28"/>
        </w:rPr>
        <w:t xml:space="preserve"> </w:t>
      </w:r>
      <w:r w:rsidRPr="007161A4">
        <w:rPr>
          <w:rFonts w:ascii="Cambria" w:hAnsi="Cambria" w:cs="Times New Roman"/>
          <w:b/>
          <w:bCs/>
          <w:color w:val="000000"/>
          <w:spacing w:val="-8"/>
        </w:rPr>
        <w:t>François SUREAU</w:t>
      </w:r>
      <w:r w:rsidRPr="00DC1046">
        <w:rPr>
          <w:rFonts w:ascii="Cambria" w:hAnsi="Cambria" w:cs="Times New Roman"/>
          <w:color w:val="000000"/>
          <w:spacing w:val="-8"/>
        </w:rPr>
        <w:t>, de l’Académie Française</w:t>
      </w:r>
      <w:r>
        <w:rPr>
          <w:rFonts w:ascii="Cambria" w:hAnsi="Cambria" w:cs="Times New Roman"/>
          <w:color w:val="000000"/>
          <w:spacing w:val="-8"/>
        </w:rPr>
        <w:t>,</w:t>
      </w:r>
      <w:r w:rsidRPr="00DC1046">
        <w:rPr>
          <w:rFonts w:ascii="Cambria" w:hAnsi="Cambria" w:cs="Times New Roman"/>
          <w:color w:val="000000"/>
          <w:spacing w:val="-8"/>
        </w:rPr>
        <w:t xml:space="preserve"> avocat et écrivain</w:t>
      </w:r>
      <w:r>
        <w:rPr>
          <w:rFonts w:ascii="Cambria" w:hAnsi="Cambria" w:cs="Times New Roman"/>
          <w:color w:val="000000"/>
          <w:spacing w:val="-8"/>
        </w:rPr>
        <w:t>.</w:t>
      </w:r>
    </w:p>
    <w:p w14:paraId="499F391F" w14:textId="0E283940" w:rsidR="004D4969" w:rsidRDefault="00CC101D" w:rsidP="003D6602">
      <w:pPr>
        <w:spacing w:before="120"/>
        <w:jc w:val="both"/>
        <w:rPr>
          <w:rFonts w:cs="Times New Roman"/>
          <w:b/>
          <w:bCs/>
          <w:color w:val="000000"/>
          <w:spacing w:val="-8"/>
          <w:sz w:val="28"/>
          <w:szCs w:val="28"/>
        </w:rPr>
      </w:pPr>
      <w:r>
        <w:rPr>
          <w:rFonts w:cs="Times New Roman"/>
          <w:b/>
          <w:bCs/>
          <w:color w:val="000000"/>
          <w:spacing w:val="-8"/>
          <w:sz w:val="28"/>
          <w:szCs w:val="28"/>
          <w:highlight w:val="yellow"/>
        </w:rPr>
        <w:t>J</w:t>
      </w:r>
      <w:r w:rsidR="004D4969" w:rsidRPr="00013C23">
        <w:rPr>
          <w:rFonts w:cs="Times New Roman"/>
          <w:b/>
          <w:bCs/>
          <w:color w:val="000000"/>
          <w:spacing w:val="-8"/>
          <w:sz w:val="28"/>
          <w:szCs w:val="28"/>
          <w:highlight w:val="yellow"/>
        </w:rPr>
        <w:t>eudi</w:t>
      </w:r>
      <w:r w:rsidR="004D4969">
        <w:rPr>
          <w:rFonts w:cs="Times New Roman"/>
          <w:b/>
          <w:bCs/>
          <w:color w:val="000000"/>
          <w:spacing w:val="-8"/>
          <w:sz w:val="28"/>
          <w:szCs w:val="28"/>
        </w:rPr>
        <w:t xml:space="preserve"> 5 décembre – </w:t>
      </w:r>
      <w:r w:rsidR="004D4969">
        <w:rPr>
          <w:rFonts w:ascii="Cambria" w:hAnsi="Cambria" w:cs="Times New Roman"/>
          <w:b/>
          <w:bCs/>
          <w:color w:val="000000"/>
          <w:spacing w:val="-8"/>
          <w:sz w:val="28"/>
          <w:szCs w:val="28"/>
        </w:rPr>
        <w:t>C</w:t>
      </w:r>
      <w:r w:rsidR="004D4969" w:rsidRPr="00A104E0">
        <w:rPr>
          <w:rFonts w:ascii="Cambria" w:hAnsi="Cambria" w:cs="Times New Roman"/>
          <w:b/>
          <w:bCs/>
          <w:color w:val="000000"/>
          <w:spacing w:val="-8"/>
          <w:sz w:val="28"/>
          <w:szCs w:val="28"/>
        </w:rPr>
        <w:t xml:space="preserve">olloque organisé par la chaire </w:t>
      </w:r>
      <w:proofErr w:type="spellStart"/>
      <w:r w:rsidR="004D4969" w:rsidRPr="00A104E0">
        <w:rPr>
          <w:rFonts w:ascii="Cambria" w:hAnsi="Cambria" w:cs="Times New Roman"/>
          <w:b/>
          <w:bCs/>
          <w:color w:val="000000"/>
          <w:spacing w:val="-8"/>
          <w:sz w:val="28"/>
          <w:szCs w:val="28"/>
        </w:rPr>
        <w:t>HiGeSeT</w:t>
      </w:r>
      <w:proofErr w:type="spellEnd"/>
      <w:r w:rsidR="004D4969">
        <w:rPr>
          <w:rFonts w:cs="Times New Roman"/>
          <w:b/>
          <w:bCs/>
          <w:color w:val="000000"/>
          <w:spacing w:val="-8"/>
          <w:sz w:val="28"/>
          <w:szCs w:val="28"/>
        </w:rPr>
        <w:t xml:space="preserve"> </w:t>
      </w:r>
    </w:p>
    <w:p w14:paraId="7C5F493A" w14:textId="77777777" w:rsidR="004D4969" w:rsidRPr="00A104E0" w:rsidRDefault="004D4969" w:rsidP="00CC101D">
      <w:pPr>
        <w:spacing w:before="40" w:line="320" w:lineRule="exact"/>
        <w:ind w:left="340"/>
        <w:jc w:val="both"/>
        <w:rPr>
          <w:rFonts w:ascii="Cambria" w:hAnsi="Cambria"/>
          <w:color w:val="990000"/>
          <w:sz w:val="28"/>
          <w:szCs w:val="28"/>
        </w:rPr>
      </w:pPr>
      <w:r w:rsidRPr="00A104E0">
        <w:rPr>
          <w:rFonts w:ascii="Cambria" w:hAnsi="Cambria" w:cs="Times New Roman"/>
          <w:b/>
          <w:bCs/>
          <w:i/>
          <w:iCs/>
          <w:color w:val="990000"/>
          <w:spacing w:val="-8"/>
          <w:sz w:val="28"/>
          <w:szCs w:val="28"/>
        </w:rPr>
        <w:t>« Guerres de gendarmeries » ? Les gendarmes en contre-insurrection, des Chouans aux Talibans (1793-2013)</w:t>
      </w:r>
    </w:p>
    <w:p w14:paraId="21024C75" w14:textId="77777777" w:rsidR="004D4969" w:rsidRPr="00A104E0" w:rsidRDefault="004D4969" w:rsidP="003D6602">
      <w:pPr>
        <w:spacing w:before="120"/>
        <w:jc w:val="both"/>
        <w:rPr>
          <w:rFonts w:ascii="Cambria" w:hAnsi="Cambria"/>
        </w:rPr>
      </w:pPr>
      <w:r>
        <w:rPr>
          <w:rFonts w:cs="Times New Roman"/>
          <w:b/>
          <w:bCs/>
          <w:color w:val="000000"/>
          <w:spacing w:val="-8"/>
          <w:sz w:val="28"/>
          <w:szCs w:val="28"/>
        </w:rPr>
        <w:t xml:space="preserve">10 décembre – </w:t>
      </w:r>
      <w:r w:rsidRPr="00A104E0">
        <w:rPr>
          <w:rFonts w:ascii="Cambria" w:hAnsi="Cambria" w:cs="Times New Roman"/>
          <w:b/>
          <w:bCs/>
          <w:color w:val="000000"/>
          <w:sz w:val="28"/>
          <w:szCs w:val="28"/>
        </w:rPr>
        <w:t>Écritures de l’histoire</w:t>
      </w:r>
    </w:p>
    <w:p w14:paraId="703BE95C" w14:textId="77777777" w:rsidR="004D4969" w:rsidRPr="00DC1046" w:rsidRDefault="004D4969" w:rsidP="00CC101D">
      <w:pPr>
        <w:spacing w:before="40" w:line="320" w:lineRule="exact"/>
        <w:ind w:left="340"/>
        <w:jc w:val="both"/>
        <w:rPr>
          <w:rFonts w:ascii="Cambria" w:hAnsi="Cambria"/>
          <w:color w:val="000000"/>
        </w:rPr>
      </w:pPr>
      <w:r w:rsidRPr="00A104E0">
        <w:rPr>
          <w:rFonts w:ascii="Cambria" w:hAnsi="Cambria" w:cs="Times New Roman"/>
          <w:b/>
          <w:bCs/>
          <w:i/>
          <w:iCs/>
          <w:color w:val="990000"/>
          <w:sz w:val="28"/>
          <w:szCs w:val="28"/>
        </w:rPr>
        <w:t>Comment présenter la Troisième République en bande dessinée ?</w:t>
      </w:r>
      <w:r>
        <w:rPr>
          <w:rFonts w:ascii="Cambria" w:hAnsi="Cambria" w:cs="Times New Roman"/>
          <w:b/>
          <w:bCs/>
          <w:color w:val="663300"/>
          <w:sz w:val="28"/>
          <w:szCs w:val="28"/>
        </w:rPr>
        <w:t xml:space="preserve"> </w:t>
      </w:r>
      <w:r w:rsidRPr="00DC1046">
        <w:rPr>
          <w:rFonts w:ascii="Cambria" w:hAnsi="Cambria" w:cs="Times New Roman"/>
        </w:rPr>
        <w:t xml:space="preserve">- </w:t>
      </w:r>
      <w:r w:rsidRPr="007161A4">
        <w:rPr>
          <w:rFonts w:ascii="Cambria" w:hAnsi="Cambria"/>
          <w:b/>
          <w:bCs/>
          <w:color w:val="000000"/>
        </w:rPr>
        <w:t>Arnaud-Dominique HOUTE</w:t>
      </w:r>
      <w:r w:rsidRPr="00DC1046">
        <w:rPr>
          <w:rFonts w:ascii="Cambria" w:hAnsi="Cambria"/>
          <w:color w:val="000000"/>
        </w:rPr>
        <w:t>, Centre d’Histoire du XIX</w:t>
      </w:r>
      <w:r w:rsidRPr="000076D1">
        <w:rPr>
          <w:rFonts w:ascii="Cambria" w:hAnsi="Cambria" w:cs="Times New Roman"/>
          <w:bCs/>
          <w:sz w:val="22"/>
          <w:szCs w:val="22"/>
          <w:vertAlign w:val="superscript"/>
        </w:rPr>
        <w:t>e</w:t>
      </w:r>
      <w:r w:rsidRPr="00DC1046">
        <w:rPr>
          <w:rFonts w:ascii="Cambria" w:hAnsi="Cambria"/>
          <w:color w:val="000000"/>
        </w:rPr>
        <w:t xml:space="preserve"> siècle</w:t>
      </w:r>
      <w:r>
        <w:rPr>
          <w:rFonts w:ascii="Cambria" w:hAnsi="Cambria"/>
          <w:color w:val="000000"/>
        </w:rPr>
        <w:t xml:space="preserve"> (Sorbonne Université)</w:t>
      </w:r>
      <w:r w:rsidRPr="00DC1046">
        <w:rPr>
          <w:rFonts w:ascii="Cambria" w:hAnsi="Cambria"/>
          <w:color w:val="000000"/>
        </w:rPr>
        <w:t>.</w:t>
      </w:r>
    </w:p>
    <w:p w14:paraId="4E0095F8" w14:textId="2521D313" w:rsidR="004D4969" w:rsidRDefault="004D4969" w:rsidP="000076D1">
      <w:pPr>
        <w:spacing w:before="160" w:line="320" w:lineRule="exact"/>
        <w:ind w:firstLine="567"/>
        <w:jc w:val="both"/>
      </w:pPr>
      <w:r>
        <w:rPr>
          <w:rFonts w:cs="Times New Roman"/>
          <w:sz w:val="28"/>
          <w:szCs w:val="28"/>
        </w:rPr>
        <w:t xml:space="preserve">Ouvert aux étudiants de master et de doctorat, ainsi qu'aux chercheurs (historiens, sociologues, politistes, juristes, etc.), aux professionnels et aux citoyens, ce séminaire de recherche prend pour objet principal, mais non exclusif, la sécurité, dans une approche élargie, </w:t>
      </w:r>
      <w:r>
        <w:rPr>
          <w:rFonts w:cs="Times New Roman"/>
          <w:sz w:val="28"/>
          <w:szCs w:val="28"/>
        </w:rPr>
        <w:lastRenderedPageBreak/>
        <w:t>étroitement reliée aux enjeux sociaux, politiques et culturels de l'histoire générale.</w:t>
      </w:r>
    </w:p>
    <w:p w14:paraId="078622B0" w14:textId="77777777" w:rsidR="004D4969" w:rsidRDefault="004D4969" w:rsidP="004D4969">
      <w:pPr>
        <w:spacing w:before="80" w:line="320" w:lineRule="exact"/>
        <w:ind w:firstLine="567"/>
        <w:jc w:val="both"/>
      </w:pPr>
      <w:r>
        <w:rPr>
          <w:rFonts w:cs="Times New Roman"/>
          <w:sz w:val="28"/>
          <w:szCs w:val="28"/>
        </w:rPr>
        <w:t xml:space="preserve">Prolongeant des travaux individuels et collectifs développés depuis plus de vingt ans, il s'inscrit dans le cadre de Sorbonne-Université, et en collaboration avec la chaire </w:t>
      </w:r>
      <w:proofErr w:type="spellStart"/>
      <w:r>
        <w:rPr>
          <w:rFonts w:cs="Times New Roman"/>
          <w:sz w:val="28"/>
          <w:szCs w:val="28"/>
        </w:rPr>
        <w:t>HiGeSet</w:t>
      </w:r>
      <w:proofErr w:type="spellEnd"/>
      <w:r>
        <w:rPr>
          <w:rFonts w:cs="Times New Roman"/>
          <w:sz w:val="28"/>
          <w:szCs w:val="28"/>
        </w:rPr>
        <w:t xml:space="preserve"> Histoire, Gendarmerie, Sécurité &amp; Territoire(s) du Centre de recherche de la Gendarmerie nationale (CRGN).</w:t>
      </w:r>
    </w:p>
    <w:p w14:paraId="3FED7A60" w14:textId="77777777" w:rsidR="004D4969" w:rsidRDefault="004D4969" w:rsidP="004D4969">
      <w:pPr>
        <w:spacing w:before="80" w:line="320" w:lineRule="exact"/>
        <w:ind w:firstLine="567"/>
        <w:jc w:val="both"/>
      </w:pPr>
      <w:r>
        <w:rPr>
          <w:rFonts w:cs="Times New Roman"/>
          <w:sz w:val="28"/>
          <w:szCs w:val="28"/>
        </w:rPr>
        <w:t>Fondé sur une méthodologie historienne, mais ouvert aux approches des sciences sociales dans toute leur diversité, ce séminaire entend être un lieu de préparation, de présentation et de discussion de recherches consacrées à l'étude de la gendarmerie ainsi qu'à l'ensemble des institutions et des acteurs/actrices publics ou privés qui participent d'une manière ou d'une autre aux questions de sécurité. Pour comprendre ce problème dans son environnement global, il s'intéresse également à l'exploration des peurs et des passions sociales, abordées dans leur épaisseur historique, en tenant compte de leurs diversités sociales et territoriales.</w:t>
      </w:r>
    </w:p>
    <w:p w14:paraId="7A3ABA49" w14:textId="4861AF78" w:rsidR="00442BD3" w:rsidRDefault="004D4969" w:rsidP="003D6602">
      <w:pPr>
        <w:spacing w:before="80" w:line="320" w:lineRule="exact"/>
        <w:ind w:firstLine="567"/>
        <w:jc w:val="both"/>
        <w:rPr>
          <w:rFonts w:cs="Times New Roman"/>
          <w:sz w:val="28"/>
          <w:szCs w:val="28"/>
        </w:rPr>
      </w:pPr>
      <w:r>
        <w:rPr>
          <w:rFonts w:cs="Times New Roman"/>
          <w:sz w:val="28"/>
          <w:szCs w:val="28"/>
        </w:rPr>
        <w:t>Le séminaire associe des séances méthodologiques (plus spécifiquement destinées aux étudiants de master) et des conférences (ouvertes au public), dans la volonté de multiplier les approches disciplinaires, les méthodes et les terrains d'enquête.</w:t>
      </w:r>
    </w:p>
    <w:p w14:paraId="31073B4F" w14:textId="77777777" w:rsidR="003D6602" w:rsidRDefault="003D6602" w:rsidP="003D6602">
      <w:pPr>
        <w:spacing w:before="80" w:line="320" w:lineRule="exact"/>
        <w:ind w:firstLine="567"/>
        <w:jc w:val="both"/>
        <w:rPr>
          <w:rFonts w:cs="Times New Roman"/>
          <w:color w:val="000000"/>
          <w:spacing w:val="-8"/>
          <w:sz w:val="28"/>
          <w:szCs w:val="28"/>
        </w:rPr>
      </w:pPr>
    </w:p>
    <w:sectPr w:rsidR="003D6602" w:rsidSect="003D660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8F7B" w14:textId="77777777" w:rsidR="00C24604" w:rsidRDefault="00C24604" w:rsidP="0024177C">
      <w:r>
        <w:separator/>
      </w:r>
    </w:p>
  </w:endnote>
  <w:endnote w:type="continuationSeparator" w:id="0">
    <w:p w14:paraId="523F1A28" w14:textId="77777777" w:rsidR="00C24604" w:rsidRDefault="00C24604" w:rsidP="0024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D239" w14:textId="77777777" w:rsidR="0024177C" w:rsidRDefault="002417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374C" w14:textId="77777777" w:rsidR="0024177C" w:rsidRDefault="002417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BAC9" w14:textId="77777777" w:rsidR="0024177C" w:rsidRDefault="002417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E6D18" w14:textId="77777777" w:rsidR="00C24604" w:rsidRDefault="00C24604" w:rsidP="0024177C">
      <w:r>
        <w:separator/>
      </w:r>
    </w:p>
  </w:footnote>
  <w:footnote w:type="continuationSeparator" w:id="0">
    <w:p w14:paraId="2A4A3EAE" w14:textId="77777777" w:rsidR="00C24604" w:rsidRDefault="00C24604" w:rsidP="0024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91520" w14:textId="77777777" w:rsidR="0024177C" w:rsidRDefault="002417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0537" w14:textId="77777777" w:rsidR="0024177C" w:rsidRDefault="002417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319B" w14:textId="77777777" w:rsidR="0024177C" w:rsidRDefault="0024177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D3"/>
    <w:rsid w:val="000076D1"/>
    <w:rsid w:val="00013C23"/>
    <w:rsid w:val="0002286C"/>
    <w:rsid w:val="0006628A"/>
    <w:rsid w:val="0007769B"/>
    <w:rsid w:val="000A4297"/>
    <w:rsid w:val="000C6E11"/>
    <w:rsid w:val="00186A72"/>
    <w:rsid w:val="001D7278"/>
    <w:rsid w:val="001F71E3"/>
    <w:rsid w:val="00220851"/>
    <w:rsid w:val="002276DE"/>
    <w:rsid w:val="0024177C"/>
    <w:rsid w:val="00282B2F"/>
    <w:rsid w:val="002B5555"/>
    <w:rsid w:val="00372358"/>
    <w:rsid w:val="003D438D"/>
    <w:rsid w:val="003D6602"/>
    <w:rsid w:val="00442BD3"/>
    <w:rsid w:val="00472C66"/>
    <w:rsid w:val="004763C3"/>
    <w:rsid w:val="004A4367"/>
    <w:rsid w:val="004C5969"/>
    <w:rsid w:val="004D4969"/>
    <w:rsid w:val="004E5BCA"/>
    <w:rsid w:val="005450A0"/>
    <w:rsid w:val="00573179"/>
    <w:rsid w:val="005E38EB"/>
    <w:rsid w:val="007A2263"/>
    <w:rsid w:val="0086339F"/>
    <w:rsid w:val="00882C92"/>
    <w:rsid w:val="008D1924"/>
    <w:rsid w:val="00965D72"/>
    <w:rsid w:val="00A52292"/>
    <w:rsid w:val="00A7163C"/>
    <w:rsid w:val="00B44B15"/>
    <w:rsid w:val="00BF3DBF"/>
    <w:rsid w:val="00C07030"/>
    <w:rsid w:val="00C24604"/>
    <w:rsid w:val="00C30BFC"/>
    <w:rsid w:val="00C76C01"/>
    <w:rsid w:val="00CC101D"/>
    <w:rsid w:val="00CE091F"/>
    <w:rsid w:val="00DA15AC"/>
    <w:rsid w:val="00DC40AA"/>
    <w:rsid w:val="00E5588D"/>
    <w:rsid w:val="00E56340"/>
    <w:rsid w:val="00EE1154"/>
    <w:rsid w:val="00F5402C"/>
    <w:rsid w:val="00FA1CF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EC9CD"/>
  <w15:docId w15:val="{88AC4DB5-A098-3546-8FE1-2DE32CEA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969"/>
    <w:pPr>
      <w:widowControl w:val="0"/>
    </w:pPr>
    <w:rPr>
      <w:rFonts w:eastAsia="Arial Unicode MS" w:cs="Arial Unicode MS"/>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styleId="Lienhypertexte">
    <w:name w:val="Hyperlink"/>
    <w:rPr>
      <w:color w:val="0000FF"/>
      <w:u w:val="single"/>
    </w:rPr>
  </w:style>
  <w:style w:type="character" w:styleId="Lienhypertextesuivivisit">
    <w:name w:val="FollowedHyperlink"/>
    <w:rPr>
      <w:color w:val="800000"/>
      <w:u w:val="single"/>
    </w:rPr>
  </w:style>
  <w:style w:type="character" w:customStyle="1" w:styleId="Caractresdenotedebasdepage">
    <w:name w:val="Caractères de note de bas de page"/>
    <w:qFormat/>
    <w:rPr>
      <w:vertAlign w:val="superscript"/>
    </w:rPr>
  </w:style>
  <w:style w:type="character" w:customStyle="1" w:styleId="WW-Caractresdenotedebasdepage">
    <w:name w:val="WW-Caractères de note de bas de page"/>
    <w:qFormat/>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ppelnotedebasdep1">
    <w:name w:val="Appel note de bas de p.1"/>
    <w:qFormat/>
    <w:rPr>
      <w:vertAlign w:val="superscript"/>
    </w:rPr>
  </w:style>
  <w:style w:type="character" w:customStyle="1" w:styleId="Appeldenotedefin1">
    <w:name w:val="Appel de note de fin1"/>
    <w:qFormat/>
    <w:rPr>
      <w:vertAlign w:val="superscript"/>
    </w:rPr>
  </w:style>
  <w:style w:type="character" w:customStyle="1" w:styleId="Sous-titreCar">
    <w:name w:val="Sous-titre Car"/>
    <w:qFormat/>
    <w:rPr>
      <w:rFonts w:ascii="Calibri Light" w:eastAsia="Times New Roman" w:hAnsi="Calibri Light" w:cs="Mangal"/>
      <w:kern w:val="2"/>
      <w:sz w:val="24"/>
      <w:szCs w:val="21"/>
      <w:lang w:bidi="hi-IN"/>
    </w:rPr>
  </w:style>
  <w:style w:type="character" w:styleId="Accentuationlgre">
    <w:name w:val="Subtle Emphasis"/>
    <w:qFormat/>
    <w:rPr>
      <w:i/>
      <w:iCs/>
      <w:color w:val="404040"/>
    </w:rPr>
  </w:style>
  <w:style w:type="character" w:styleId="Mentionnonrsolue">
    <w:name w:val="Unresolved Mention"/>
    <w:qFormat/>
    <w:rPr>
      <w:color w:val="605E5C"/>
      <w:shd w:val="clear" w:color="auto" w:fill="E1DFDD"/>
    </w:rPr>
  </w:style>
  <w:style w:type="character" w:customStyle="1" w:styleId="Appeldenote">
    <w:name w:val="Appel de note"/>
    <w:qFormat/>
    <w:rPr>
      <w:vertAlign w:val="superscript"/>
    </w:rPr>
  </w:style>
  <w:style w:type="paragraph" w:styleId="Titre">
    <w:name w:val="Title"/>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2">
    <w:name w:val="Titre2"/>
    <w:basedOn w:val="Normal"/>
    <w:next w:val="Corpsdetexte"/>
    <w:qFormat/>
    <w:pPr>
      <w:keepNext/>
      <w:spacing w:before="240" w:after="120"/>
    </w:pPr>
    <w:rPr>
      <w:rFonts w:ascii="Arial" w:hAnsi="Arial"/>
      <w:sz w:val="28"/>
      <w:szCs w:val="28"/>
    </w:rPr>
  </w:style>
  <w:style w:type="paragraph" w:customStyle="1" w:styleId="Titre1">
    <w:name w:val="Titre1"/>
    <w:basedOn w:val="Normal"/>
    <w:next w:val="Corpsdetexte"/>
    <w:qFormat/>
    <w:pPr>
      <w:keepNext/>
      <w:spacing w:before="240" w:after="120"/>
    </w:pPr>
    <w:rPr>
      <w:rFonts w:ascii="Arial" w:hAnsi="Arial"/>
      <w:sz w:val="28"/>
      <w:szCs w:val="28"/>
    </w:rPr>
  </w:style>
  <w:style w:type="paragraph" w:customStyle="1" w:styleId="Lgende1">
    <w:name w:val="Légende1"/>
    <w:basedOn w:val="Normal"/>
    <w:qFormat/>
    <w:pPr>
      <w:suppressLineNumbers/>
      <w:spacing w:before="120" w:after="120"/>
    </w:pPr>
    <w:rPr>
      <w:i/>
      <w:iCs/>
    </w:rPr>
  </w:style>
  <w:style w:type="paragraph" w:styleId="Notedebasdepage">
    <w:name w:val="footnote text"/>
    <w:basedOn w:val="Normal"/>
    <w:pPr>
      <w:suppressLineNumbers/>
      <w:ind w:left="283" w:hanging="283"/>
    </w:pPr>
    <w:rPr>
      <w:sz w:val="20"/>
      <w:szCs w:val="20"/>
    </w:rPr>
  </w:style>
  <w:style w:type="paragraph" w:styleId="Citation">
    <w:name w:val="Quote"/>
    <w:basedOn w:val="Normal"/>
    <w:qFormat/>
    <w:pPr>
      <w:spacing w:after="283"/>
      <w:ind w:left="567" w:right="567"/>
    </w:pPr>
  </w:style>
  <w:style w:type="paragraph" w:styleId="Sous-titre">
    <w:name w:val="Subtitle"/>
    <w:basedOn w:val="Normal"/>
    <w:next w:val="Normal"/>
    <w:qFormat/>
    <w:pPr>
      <w:spacing w:after="60"/>
      <w:jc w:val="center"/>
    </w:pPr>
    <w:rPr>
      <w:rFonts w:ascii="Calibri Light" w:eastAsia="Times New Roman" w:hAnsi="Calibri Light" w:cs="Mangal"/>
      <w:szCs w:val="21"/>
    </w:rPr>
  </w:style>
  <w:style w:type="paragraph" w:styleId="En-tte">
    <w:name w:val="header"/>
    <w:basedOn w:val="Normal"/>
    <w:link w:val="En-tteCar"/>
    <w:uiPriority w:val="99"/>
    <w:unhideWhenUsed/>
    <w:rsid w:val="0024177C"/>
    <w:pPr>
      <w:tabs>
        <w:tab w:val="center" w:pos="4536"/>
        <w:tab w:val="right" w:pos="9072"/>
      </w:tabs>
    </w:pPr>
    <w:rPr>
      <w:rFonts w:cs="Mangal"/>
      <w:szCs w:val="21"/>
    </w:rPr>
  </w:style>
  <w:style w:type="character" w:customStyle="1" w:styleId="En-tteCar">
    <w:name w:val="En-tête Car"/>
    <w:basedOn w:val="Policepardfaut"/>
    <w:link w:val="En-tte"/>
    <w:uiPriority w:val="99"/>
    <w:rsid w:val="0024177C"/>
    <w:rPr>
      <w:rFonts w:eastAsia="Arial Unicode MS" w:cs="Mangal"/>
      <w:kern w:val="2"/>
      <w:sz w:val="24"/>
      <w:szCs w:val="21"/>
      <w:lang w:eastAsia="zh-CN" w:bidi="hi-IN"/>
    </w:rPr>
  </w:style>
  <w:style w:type="paragraph" w:styleId="Pieddepage">
    <w:name w:val="footer"/>
    <w:basedOn w:val="Normal"/>
    <w:link w:val="PieddepageCar"/>
    <w:uiPriority w:val="99"/>
    <w:unhideWhenUsed/>
    <w:rsid w:val="0024177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4177C"/>
    <w:rPr>
      <w:rFonts w:eastAsia="Arial Unicode MS" w:cs="Mangal"/>
      <w:kern w:val="2"/>
      <w:sz w:val="24"/>
      <w:szCs w:val="21"/>
      <w:lang w:eastAsia="zh-CN" w:bidi="hi-IN"/>
    </w:rPr>
  </w:style>
  <w:style w:type="character" w:customStyle="1" w:styleId="CorpsdetexteCar">
    <w:name w:val="Corps de texte Car"/>
    <w:basedOn w:val="Policepardfaut"/>
    <w:link w:val="Corpsdetexte"/>
    <w:rsid w:val="004D4969"/>
    <w:rPr>
      <w:rFonts w:eastAsia="Arial Unicode MS"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naud.houte@sorbonne-universite.f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houte</dc:creator>
  <dc:description/>
  <cp:lastModifiedBy>Jean-Noël Luc</cp:lastModifiedBy>
  <cp:revision>3</cp:revision>
  <cp:lastPrinted>1899-12-31T23:50:00Z</cp:lastPrinted>
  <dcterms:created xsi:type="dcterms:W3CDTF">2024-09-16T14:39:00Z</dcterms:created>
  <dcterms:modified xsi:type="dcterms:W3CDTF">2024-09-16T14:40:00Z</dcterms:modified>
  <dc:language>fr-FR</dc:language>
</cp:coreProperties>
</file>