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B658" w14:textId="3673E260" w:rsidR="0049230E" w:rsidRDefault="0049230E" w:rsidP="0049230E">
      <w:pPr>
        <w:pStyle w:val="NormalWeb"/>
      </w:pPr>
      <w:r>
        <w:t>Université Paris 1 Panthéon-Sorbonne, Ecole d’histoire de la Sorbonne</w:t>
      </w:r>
      <w:r>
        <w:br/>
      </w:r>
      <w:r>
        <w:rPr>
          <w:rStyle w:val="Accentuation"/>
          <w:b/>
          <w:bCs/>
        </w:rPr>
        <w:t>Histoire visuelle de la France populaire (1936-1980)</w:t>
      </w:r>
      <w:r>
        <w:br/>
      </w:r>
      <w:r>
        <w:rPr>
          <w:rStyle w:val="Accentuation"/>
          <w:b/>
          <w:bCs/>
        </w:rPr>
        <w:t>Photographie, patrimoine et ethnologie</w:t>
      </w:r>
      <w:r>
        <w:br/>
        <w:t>Enseignement de Master 2, S2, mardi, 18h-20h, Sorbonne, salle Marc Bloch)</w:t>
      </w:r>
      <w:r>
        <w:br/>
        <w:t>Enseignant : Bertrand Tillier</w:t>
      </w:r>
      <w:r>
        <w:br/>
      </w:r>
      <w:hyperlink r:id="rId4" w:history="1">
        <w:r>
          <w:rPr>
            <w:rStyle w:val="Lienhypertexte"/>
          </w:rPr>
          <w:t>bertrand.tillier@univ-paris1.fr</w:t>
        </w:r>
      </w:hyperlink>
    </w:p>
    <w:p w14:paraId="3423F44F" w14:textId="77777777" w:rsidR="0049230E" w:rsidRDefault="0049230E" w:rsidP="0049230E">
      <w:pPr>
        <w:pStyle w:val="NormalWeb"/>
      </w:pPr>
    </w:p>
    <w:p w14:paraId="0A9B655D" w14:textId="5B750A96" w:rsidR="0049230E" w:rsidRDefault="0049230E" w:rsidP="0049230E">
      <w:pPr>
        <w:pStyle w:val="Sansinterligne"/>
      </w:pPr>
      <w:r w:rsidRPr="0049230E">
        <w:t xml:space="preserve">Dans le cadre de la Recherche coopérative sur programme (RCP) dédiée à l’Aubrac (1963-1966), les équipes d’ethnologues, de photographes et de cinéastes du Musée national des arts et traditions populaires, conduites par Georges Henri Rivière, ont mené une vaste enquête pluridisciplinaire (ethnologique, historique, économique, démographique, sociologique…) sur la culture paysanne de cette région d’Auvergne qui, en proie à des mutations profondes à l’heure des « Trente Glorieuses », était en train de disparaître ou de se transformer et dont on pensait nécessaire de l’archiver selon des modalités multiples (collectes de témoignages, acquisitions d’objets, campagnes photographiques et cinématographiques…). Le séminaire sera l’occasion d’historiciser et d’interroger ces pratiques, leurs acteurs et leurs résultats autour d’un cas particulier : la patrimonialisation du mobilier d’un intérieur rural (au lieu-dit des </w:t>
      </w:r>
      <w:proofErr w:type="spellStart"/>
      <w:r w:rsidRPr="0049230E">
        <w:t>Fajoux</w:t>
      </w:r>
      <w:proofErr w:type="spellEnd"/>
      <w:r w:rsidRPr="0049230E">
        <w:t>) considéré comme une « unité écologique ».</w:t>
      </w:r>
      <w:r w:rsidRPr="0049230E">
        <w:br/>
        <w:t> </w:t>
      </w:r>
      <w:r w:rsidRPr="0049230E">
        <w:br/>
      </w:r>
      <w:r>
        <w:t> </w:t>
      </w:r>
      <w:r>
        <w:br/>
      </w:r>
      <w:r>
        <w:rPr>
          <w:rStyle w:val="lev"/>
        </w:rPr>
        <w:t>Programme</w:t>
      </w:r>
      <w:r>
        <w:br/>
        <w:t>30 janvier 2024</w:t>
      </w:r>
      <w:r>
        <w:br/>
        <w:t>Présentation du séminaire</w:t>
      </w:r>
      <w:r>
        <w:br/>
        <w:t> </w:t>
      </w:r>
      <w:r>
        <w:br/>
        <w:t>13 février 2024</w:t>
      </w:r>
      <w:r>
        <w:br/>
      </w:r>
      <w:r>
        <w:rPr>
          <w:rStyle w:val="lev"/>
        </w:rPr>
        <w:t xml:space="preserve">Les </w:t>
      </w:r>
      <w:proofErr w:type="spellStart"/>
      <w:r>
        <w:rPr>
          <w:rStyle w:val="lev"/>
        </w:rPr>
        <w:t>Fajoux</w:t>
      </w:r>
      <w:proofErr w:type="spellEnd"/>
      <w:r>
        <w:rPr>
          <w:rStyle w:val="lev"/>
        </w:rPr>
        <w:t xml:space="preserve"> (Cantal, 1963-1966) : situation initiale</w:t>
      </w:r>
      <w:r>
        <w:br/>
        <w:t> </w:t>
      </w:r>
      <w:r>
        <w:br/>
        <w:t>27 février 2024</w:t>
      </w:r>
      <w:r>
        <w:br/>
      </w:r>
      <w:r>
        <w:rPr>
          <w:rStyle w:val="lev"/>
        </w:rPr>
        <w:t>Le critique et les fantômes</w:t>
      </w:r>
      <w:r>
        <w:br/>
        <w:t>Exposé : Henri Mendras, </w:t>
      </w:r>
      <w:r>
        <w:rPr>
          <w:rStyle w:val="Accentuation"/>
        </w:rPr>
        <w:t>La fin des paysans</w:t>
      </w:r>
      <w:r>
        <w:t>, [1984], Arles, Actes Sud, coll. « Babel », 1992.</w:t>
      </w:r>
      <w:r>
        <w:br/>
        <w:t> </w:t>
      </w:r>
      <w:r>
        <w:br/>
        <w:t>5 mars 2024</w:t>
      </w:r>
      <w:r>
        <w:br/>
      </w:r>
      <w:r>
        <w:rPr>
          <w:rStyle w:val="lev"/>
        </w:rPr>
        <w:t>Les informateurs et « donateurs »</w:t>
      </w:r>
      <w:r>
        <w:br/>
        <w:t>Exposé : Daniel Roche, </w:t>
      </w:r>
      <w:r>
        <w:rPr>
          <w:rStyle w:val="Accentuation"/>
        </w:rPr>
        <w:t>Histoire des choses banales</w:t>
      </w:r>
      <w:r>
        <w:t>, Paris, Fayard, 1997.</w:t>
      </w:r>
      <w:r>
        <w:br/>
        <w:t> </w:t>
      </w:r>
      <w:r>
        <w:br/>
        <w:t>12 mars 2024</w:t>
      </w:r>
      <w:r>
        <w:br/>
      </w:r>
      <w:r>
        <w:rPr>
          <w:rStyle w:val="lev"/>
        </w:rPr>
        <w:t>Le cinéaste </w:t>
      </w:r>
      <w:r>
        <w:br/>
        <w:t>Visionnage du film de Jean-Dominique Lajoux : </w:t>
      </w:r>
      <w:r>
        <w:rPr>
          <w:rStyle w:val="Accentuation"/>
        </w:rPr>
        <w:t xml:space="preserve">Les </w:t>
      </w:r>
      <w:proofErr w:type="spellStart"/>
      <w:r>
        <w:rPr>
          <w:rStyle w:val="Accentuation"/>
        </w:rPr>
        <w:t>Fajoux</w:t>
      </w:r>
      <w:proofErr w:type="spellEnd"/>
      <w:r>
        <w:t> (22min., 1971) </w:t>
      </w:r>
    </w:p>
    <w:p w14:paraId="068C5636" w14:textId="77777777" w:rsidR="0049230E" w:rsidRDefault="0049230E" w:rsidP="0049230E">
      <w:pPr>
        <w:pStyle w:val="NormalWeb"/>
      </w:pPr>
      <w:r>
        <w:t>19 mars 2024</w:t>
      </w:r>
      <w:r>
        <w:br/>
      </w:r>
      <w:r>
        <w:rPr>
          <w:rStyle w:val="lev"/>
        </w:rPr>
        <w:t>L’ethnologue de la vie domestique </w:t>
      </w:r>
      <w:r>
        <w:br/>
        <w:t xml:space="preserve">Exposé : Nina </w:t>
      </w:r>
      <w:proofErr w:type="spellStart"/>
      <w:r>
        <w:t>Gorgus</w:t>
      </w:r>
      <w:proofErr w:type="spellEnd"/>
      <w:r>
        <w:t>, </w:t>
      </w:r>
      <w:r>
        <w:rPr>
          <w:rStyle w:val="Accentuation"/>
        </w:rPr>
        <w:t>Le magicien des vitrines, Le muséologue Georges Henri Rivière</w:t>
      </w:r>
      <w:r>
        <w:t>, Paris, Editions de la Maison des sciences de l’homme, 2003.</w:t>
      </w:r>
      <w:r>
        <w:br/>
        <w:t> </w:t>
      </w:r>
      <w:r>
        <w:br/>
        <w:t>26 mars 2024</w:t>
      </w:r>
      <w:r>
        <w:br/>
      </w:r>
      <w:r>
        <w:rPr>
          <w:rStyle w:val="lev"/>
        </w:rPr>
        <w:t>Les photographes </w:t>
      </w:r>
      <w:r>
        <w:br/>
        <w:t xml:space="preserve">Exposé : Jean-François Simon, Bernard Paillard et Laurent Le Gall, </w:t>
      </w:r>
      <w:proofErr w:type="spellStart"/>
      <w:r>
        <w:t>dir</w:t>
      </w:r>
      <w:proofErr w:type="spellEnd"/>
      <w:r>
        <w:t>., </w:t>
      </w:r>
      <w:r>
        <w:rPr>
          <w:rStyle w:val="Accentuation"/>
        </w:rPr>
        <w:t>En France rurale : Les enquêtes interdisciplinaires depuis les années 1960, </w:t>
      </w:r>
      <w:r>
        <w:t>Rennes, Presses universitaires de Rennes, 2010.</w:t>
      </w:r>
      <w:r>
        <w:br/>
        <w:t> </w:t>
      </w:r>
      <w:r>
        <w:br/>
      </w:r>
      <w:r>
        <w:lastRenderedPageBreak/>
        <w:t>2 avril 2024</w:t>
      </w:r>
      <w:r>
        <w:br/>
      </w:r>
      <w:r>
        <w:rPr>
          <w:rStyle w:val="lev"/>
        </w:rPr>
        <w:t>Les dessinateurs et les mouleurs </w:t>
      </w:r>
      <w:r>
        <w:br/>
        <w:t>Exposé : Martine Segalen, </w:t>
      </w:r>
      <w:r>
        <w:rPr>
          <w:rStyle w:val="Accentuation"/>
        </w:rPr>
        <w:t>Vie d’un musée, 1937-2005</w:t>
      </w:r>
      <w:r>
        <w:t>, Paris, Stock, coll. « Un ordre d’idées », 2005.</w:t>
      </w:r>
      <w:r>
        <w:br/>
        <w:t> </w:t>
      </w:r>
      <w:r>
        <w:br/>
        <w:t>16 avril 2024</w:t>
      </w:r>
      <w:r>
        <w:br/>
      </w:r>
      <w:r>
        <w:rPr>
          <w:rStyle w:val="lev"/>
        </w:rPr>
        <w:t>Les démonteurs </w:t>
      </w:r>
      <w:r>
        <w:br/>
        <w:t>Exposé : Alain Corbin</w:t>
      </w:r>
      <w:r>
        <w:rPr>
          <w:rStyle w:val="Accentuation"/>
        </w:rPr>
        <w:t xml:space="preserve">, Le monde retrouvé de Louis-François </w:t>
      </w:r>
      <w:proofErr w:type="spellStart"/>
      <w:r>
        <w:rPr>
          <w:rStyle w:val="Accentuation"/>
        </w:rPr>
        <w:t>Pinagot</w:t>
      </w:r>
      <w:proofErr w:type="spellEnd"/>
      <w:r>
        <w:rPr>
          <w:rStyle w:val="Accentuation"/>
        </w:rPr>
        <w:t>, Sur les traces d’un inconnu, 1798-1876</w:t>
      </w:r>
      <w:r>
        <w:t>, Paris, Flammarion, 1998 ; Jacques-Olivier Boudon, </w:t>
      </w:r>
      <w:r>
        <w:rPr>
          <w:rStyle w:val="Accentuation"/>
        </w:rPr>
        <w:t>Le plancher de Joachim, L’histoire retrouvée d’un village français</w:t>
      </w:r>
      <w:r>
        <w:t>, Paris, Belin, 2017.</w:t>
      </w:r>
      <w:r>
        <w:br/>
        <w:t> </w:t>
      </w:r>
      <w:r>
        <w:br/>
        <w:t>23 avril 2024</w:t>
      </w:r>
      <w:r>
        <w:br/>
      </w:r>
      <w:r>
        <w:rPr>
          <w:rStyle w:val="lev"/>
        </w:rPr>
        <w:t xml:space="preserve">Le menuisier </w:t>
      </w:r>
      <w:proofErr w:type="spellStart"/>
      <w:r>
        <w:rPr>
          <w:rStyle w:val="lev"/>
        </w:rPr>
        <w:t>aubracien</w:t>
      </w:r>
      <w:proofErr w:type="spellEnd"/>
      <w:r>
        <w:rPr>
          <w:rStyle w:val="lev"/>
        </w:rPr>
        <w:t xml:space="preserve"> en reconstitueur </w:t>
      </w:r>
      <w:r>
        <w:br/>
        <w:t>Exposé : L’exposition </w:t>
      </w:r>
      <w:r>
        <w:rPr>
          <w:rStyle w:val="Accentuation"/>
        </w:rPr>
        <w:t>Hier pour demain, Arts, traditions et patrimoine</w:t>
      </w:r>
      <w:r>
        <w:t>, Paris, Grand Palais, 1980.</w:t>
      </w:r>
      <w:r>
        <w:br/>
        <w:t> </w:t>
      </w:r>
      <w:r>
        <w:br/>
        <w:t>30 avril 2024</w:t>
      </w:r>
      <w:r>
        <w:br/>
      </w:r>
      <w:r>
        <w:rPr>
          <w:rStyle w:val="lev"/>
        </w:rPr>
        <w:t>Le théoricien de l’art populaire </w:t>
      </w:r>
      <w:r>
        <w:br/>
        <w:t>Exposé : Sarah Farmer, </w:t>
      </w:r>
      <w:r>
        <w:rPr>
          <w:rStyle w:val="Accentuation"/>
        </w:rPr>
        <w:t>La modernité est dans le pré, La campagne française après 1945</w:t>
      </w:r>
      <w:r>
        <w:t>, Paris, Flammarion, coll. « Au fil de l’histoire », 2023.</w:t>
      </w:r>
      <w:r>
        <w:br/>
        <w:t> </w:t>
      </w:r>
      <w:r>
        <w:br/>
        <w:t> </w:t>
      </w:r>
    </w:p>
    <w:p w14:paraId="306C7E4C" w14:textId="77777777" w:rsidR="00352C7F" w:rsidRDefault="00352C7F"/>
    <w:sectPr w:rsidR="00352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7F"/>
    <w:rsid w:val="00352C7F"/>
    <w:rsid w:val="004923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5E2F"/>
  <w15:chartTrackingRefBased/>
  <w15:docId w15:val="{71B1D8E0-1692-4A80-AA6B-FDB4C9B8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230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49230E"/>
    <w:rPr>
      <w:b/>
      <w:bCs/>
    </w:rPr>
  </w:style>
  <w:style w:type="character" w:styleId="Accentuation">
    <w:name w:val="Emphasis"/>
    <w:basedOn w:val="Policepardfaut"/>
    <w:uiPriority w:val="20"/>
    <w:qFormat/>
    <w:rsid w:val="0049230E"/>
    <w:rPr>
      <w:i/>
      <w:iCs/>
    </w:rPr>
  </w:style>
  <w:style w:type="character" w:styleId="Lienhypertexte">
    <w:name w:val="Hyperlink"/>
    <w:basedOn w:val="Policepardfaut"/>
    <w:uiPriority w:val="99"/>
    <w:semiHidden/>
    <w:unhideWhenUsed/>
    <w:rsid w:val="0049230E"/>
    <w:rPr>
      <w:color w:val="0000FF"/>
      <w:u w:val="single"/>
    </w:rPr>
  </w:style>
  <w:style w:type="paragraph" w:styleId="Sansinterligne">
    <w:name w:val="No Spacing"/>
    <w:uiPriority w:val="1"/>
    <w:qFormat/>
    <w:rsid w:val="00492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window.open('/imp/dynamic.php?page=compose&amp;to=bertrand.tillier%40univ-paris1.fr&amp;popup=1','','width=820,height=610,status=1,scrollbars=yes,resizable=y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2665</Characters>
  <Application>Microsoft Office Word</Application>
  <DocSecurity>0</DocSecurity>
  <Lines>22</Lines>
  <Paragraphs>6</Paragraphs>
  <ScaleCrop>false</ScaleCrop>
  <Company>Universite Paris 1 Pantheon Sorbonne</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Lhermitte-Blondy</dc:creator>
  <cp:keywords/>
  <dc:description/>
  <cp:lastModifiedBy>Sophie Lhermitte-Blondy</cp:lastModifiedBy>
  <cp:revision>2</cp:revision>
  <cp:lastPrinted>2024-01-30T13:46:00Z</cp:lastPrinted>
  <dcterms:created xsi:type="dcterms:W3CDTF">2024-01-30T13:46:00Z</dcterms:created>
  <dcterms:modified xsi:type="dcterms:W3CDTF">2024-01-30T13:46:00Z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2024-01-30T13:46:21Z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6fc5aeba-6a64-496c-ab2a-6dcc9de899d3</vt:lpwstr>
  </property>
  <property fmtid="{D5CDD505-2E9C-101B-9397-08002B2CF9AE}" pid="8" name="MSIP_Label_d5c20be7-c3a5-46e3-9158-fa8a02ce2395_ContentBits">
    <vt:lpwstr>0</vt:lpwstr>
  </property>
</Properties>
</file>